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p>
    <w:p>
      <w:pPr>
        <w:spacing w:after="120"/>
      </w:pPr>
    </w:p>
    <w:p>
      <w:pPr>
        <w:jc w:val="center"/>
      </w:pPr>
      <w:r>
        <w:drawing>
          <wp:inline xmlns:a="http://schemas.openxmlformats.org/drawingml/2006/main" xmlns:pic="http://schemas.openxmlformats.org/drawingml/2006/picture">
            <wp:extent cx="2286000" cy="609451"/>
            <wp:docPr id="1" name="Picture 1"/>
            <wp:cNvGraphicFramePr>
              <a:graphicFrameLocks noChangeAspect="1"/>
            </wp:cNvGraphicFramePr>
            <a:graphic>
              <a:graphicData uri="http://schemas.openxmlformats.org/drawingml/2006/picture">
                <pic:pic>
                  <pic:nvPicPr>
                    <pic:cNvPr id="0" name="shuriken-logo.png"/>
                    <pic:cNvPicPr/>
                  </pic:nvPicPr>
                  <pic:blipFill>
                    <a:blip r:embed="rId11"/>
                    <a:stretch>
                      <a:fillRect/>
                    </a:stretch>
                  </pic:blipFill>
                  <pic:spPr>
                    <a:xfrm>
                      <a:off x="0" y="0"/>
                      <a:ext cx="2286000" cy="609451"/>
                    </a:xfrm>
                    <a:prstGeom prst="rect"/>
                  </pic:spPr>
                </pic:pic>
              </a:graphicData>
            </a:graphic>
          </wp:inline>
        </w:drawing>
      </w:r>
    </w:p>
    <w:p>
      <w:pPr>
        <w:spacing w:before="920" w:after="200"/>
        <w:jc w:val="center"/>
      </w:pPr>
      <w:r>
        <w:rPr>
          <w:rFonts w:ascii="Aptos" w:hAnsi="Aptos" w:eastAsia="Aptos"/>
          <w:b/>
          <w:i w:val="0"/>
          <w:color w:val="636466"/>
          <w:sz w:val="30"/>
        </w:rPr>
        <w:t>THE</w:t>
      </w:r>
      <w:r>
        <w:rPr>
          <w:rFonts w:ascii="Aptos Display" w:hAnsi="Aptos Display" w:eastAsia="Aptos Display"/>
          <w:b/>
          <w:i w:val="0"/>
          <w:color w:val="CE181E"/>
          <w:sz w:val="84"/>
        </w:rPr>
        <w:t xml:space="preserve"> V.A.L.U.E.</w:t>
      </w:r>
      <w:r>
        <w:rPr>
          <w:rFonts w:ascii="Aptos" w:hAnsi="Aptos" w:eastAsia="Aptos"/>
          <w:b/>
          <w:i w:val="0"/>
          <w:color w:val="636466"/>
          <w:sz w:val="30"/>
        </w:rPr>
        <w:t xml:space="preserve"> BLUEPRINT™</w:t>
      </w:r>
    </w:p>
    <w:p>
      <w:pPr>
        <w:spacing w:after="360"/>
        <w:jc w:val="center"/>
      </w:pPr>
      <w:r>
        <w:rPr>
          <w:rFonts w:ascii="Aptos Display" w:hAnsi="Aptos Display" w:eastAsia="Aptos Display"/>
          <w:b/>
          <w:i w:val="0"/>
          <w:color w:val="242426"/>
          <w:sz w:val="38"/>
        </w:rPr>
        <w:t>A practical scorecard for Allied Health practice owners</w:t>
      </w:r>
    </w:p>
    <w:p>
      <w:pPr>
        <w:spacing w:after="720"/>
        <w:jc w:val="center"/>
      </w:pPr>
      <w:r>
        <w:rPr>
          <w:rFonts w:ascii="Aptos" w:hAnsi="Aptos" w:eastAsia="Aptos"/>
          <w:b/>
          <w:i w:val="0"/>
          <w:color w:val="CE181E"/>
          <w:sz w:val="21"/>
        </w:rPr>
        <w:t>Visibility  ·  Accountability  ·  Leverage  ·  Utilisation  ·  Enterprise Value</w:t>
      </w:r>
    </w:p>
    <w:tbl>
      <w:tblPr>
        <w:tblW w:type="auto" w:w="0"/>
        <w:jc w:val="center"/>
        <w:tblLayout w:type="fixed"/>
        <w:tblLook w:firstColumn="1" w:firstRow="1" w:lastColumn="0" w:lastRow="0" w:noHBand="0" w:noVBand="1" w:val="04A0"/>
      </w:tblPr>
      <w:tblGrid>
        <w:gridCol w:w="9360"/>
      </w:tblGrid>
      <w:tr>
        <w:tc>
          <w:tcPr>
            <w:tcW w:type="dxa" w:w="10282"/>
            <w:shd w:fill="CE181E"/>
            <w:tcMar>
              <w:top w:w="170" w:type="dxa"/>
              <w:start w:w="250" w:type="dxa"/>
              <w:bottom w:w="170" w:type="dxa"/>
              <w:end w:w="250" w:type="dxa"/>
            </w:tcMar>
            <w:tcBorders>
              <w:top w:val="nil"/>
              <w:left w:val="nil"/>
              <w:bottom w:val="nil"/>
              <w:right w:val="nil"/>
            </w:tcBorders>
          </w:tcPr>
          <w:p>
            <w:pPr>
              <w:spacing w:after="0"/>
              <w:jc w:val="center"/>
            </w:pPr>
            <w:r/>
            <w:r>
              <w:rPr>
                <w:rFonts w:ascii="Aptos" w:hAnsi="Aptos" w:eastAsia="Aptos"/>
                <w:b/>
                <w:i w:val="0"/>
                <w:color w:val="FFFFFF"/>
                <w:sz w:val="16"/>
              </w:rPr>
              <w:t>THE SHURIKEN FIELD GUIDE</w:t>
            </w:r>
          </w:p>
          <w:p>
            <w:pPr>
              <w:spacing w:after="100"/>
              <w:jc w:val="center"/>
            </w:pPr>
            <w:r>
              <w:rPr>
                <w:rFonts w:ascii="Aptos Display" w:hAnsi="Aptos Display" w:eastAsia="Aptos Display"/>
                <w:b/>
                <w:i w:val="0"/>
                <w:color w:val="FFFFFF"/>
                <w:sz w:val="40"/>
              </w:rPr>
              <w:t>Build a practice that performs without depending on you every day.</w:t>
            </w:r>
          </w:p>
          <w:p>
            <w:pPr>
              <w:jc w:val="center"/>
            </w:pPr>
            <w:r>
              <w:rPr>
                <w:rFonts w:ascii="Aptos" w:hAnsi="Aptos" w:eastAsia="Aptos"/>
                <w:b w:val="0"/>
                <w:i w:val="0"/>
                <w:color w:val="FFFFFF"/>
                <w:sz w:val="21"/>
              </w:rPr>
              <w:t>Use this scorecard to see what is working, identify the commercial gaps and choose the first move that matters.</w:t>
            </w:r>
          </w:p>
        </w:tc>
      </w:tr>
    </w:tbl>
    <w:p>
      <w:pPr>
        <w:spacing w:after="120"/>
      </w:pPr>
    </w:p>
    <w:tbl>
      <w:tblPr>
        <w:tblW w:type="auto" w:w="0"/>
        <w:jc w:val="center"/>
        <w:tblLayout w:type="fixed"/>
        <w:tblLook w:firstColumn="1" w:firstRow="1" w:lastColumn="0" w:lastRow="0" w:noHBand="0" w:noVBand="1" w:val="04A0"/>
      </w:tblPr>
      <w:tblGrid>
        <w:gridCol w:w="9360"/>
      </w:tblGrid>
      <w:tr>
        <w:tc>
          <w:tcPr>
            <w:tcW w:type="dxa" w:w="10282"/>
            <w:shd w:fill="F7F7F7"/>
            <w:tcMar>
              <w:top w:w="100" w:type="dxa"/>
              <w:start w:w="160" w:type="dxa"/>
              <w:bottom w:w="100" w:type="dxa"/>
              <w:end w:w="160" w:type="dxa"/>
            </w:tcMar>
            <w:tcBorders>
              <w:top w:val="nil"/>
              <w:left w:val="single" w:sz="18" w:color="CE181E"/>
              <w:bottom w:val="nil"/>
              <w:right w:val="nil"/>
            </w:tcBorders>
          </w:tcPr>
          <w:p>
            <w:pPr>
              <w:spacing w:after="80"/>
            </w:pPr>
            <w:r/>
            <w:r>
              <w:rPr>
                <w:rFonts w:ascii="Aptos" w:hAnsi="Aptos" w:eastAsia="Aptos"/>
                <w:b w:val="0"/>
                <w:i/>
                <w:color w:val="4D4D4F"/>
                <w:sz w:val="18"/>
              </w:rPr>
              <w:t>“Well done is better than well said.”</w:t>
            </w:r>
          </w:p>
          <w:p>
            <w:pPr>
              <w:spacing w:after="0"/>
            </w:pPr>
            <w:r>
              <w:rPr>
                <w:rFonts w:ascii="Aptos" w:hAnsi="Aptos" w:eastAsia="Aptos"/>
                <w:b/>
                <w:i w:val="0"/>
                <w:color w:val="A70E13"/>
                <w:sz w:val="16"/>
              </w:rPr>
              <w:t>— Benjamin Franklin, Poor Richard’s Almanack (1737)</w:t>
            </w:r>
          </w:p>
        </w:tc>
      </w:tr>
    </w:tbl>
    <w:p>
      <w:pPr>
        <w:spacing w:before="900"/>
        <w:jc w:val="center"/>
      </w:pPr>
      <w:r>
        <w:rPr>
          <w:rFonts w:ascii="Aptos" w:hAnsi="Aptos" w:eastAsia="Aptos"/>
          <w:b w:val="0"/>
          <w:i w:val="0"/>
          <w:color w:val="636466"/>
          <w:sz w:val="20"/>
        </w:rPr>
        <w:t>Prepared by Shuriken Advisory Group  ·  Allied Health commercial advisers</w:t>
      </w:r>
    </w:p>
    <w:p>
      <w:pPr>
        <w:jc w:val="center"/>
      </w:pPr>
      <w:r>
        <w:rPr>
          <w:rFonts w:ascii="Aptos" w:hAnsi="Aptos" w:eastAsia="Aptos"/>
          <w:b/>
          <w:i w:val="0"/>
          <w:color w:val="CE181E"/>
          <w:sz w:val="19"/>
        </w:rPr>
        <w:t>shuriken.com  ·  1300 886 066</w:t>
      </w:r>
    </w:p>
    <w:p>
      <w:r>
        <w:br w:type="page"/>
      </w:r>
    </w:p>
    <w:p>
      <w:pPr>
        <w:spacing w:after="240"/>
      </w:pPr>
      <w:r>
        <w:rPr>
          <w:sz w:val="6"/>
        </w:rPr>
        <w:t xml:space="preserve"> </w:t>
      </w:r>
    </w:p>
    <w:p>
      <w:pPr>
        <w:pStyle w:val="Heading1"/>
        <w:spacing w:before="0" w:after="160"/>
      </w:pPr>
      <w:r>
        <w:rPr>
          <w:rFonts w:ascii="Aptos Display" w:hAnsi="Aptos Display"/>
          <w:b/>
          <w:color w:val="242426"/>
          <w:sz w:val="50"/>
        </w:rPr>
        <w:t>A practice is more than a P&amp;L.</w:t>
      </w:r>
    </w:p>
    <w:p>
      <w:pPr>
        <w:spacing w:after="400"/>
      </w:pPr>
      <w:r>
        <w:rPr>
          <w:rFonts w:ascii="Aptos" w:hAnsi="Aptos" w:eastAsia="Aptos"/>
          <w:b w:val="0"/>
          <w:i w:val="0"/>
          <w:color w:val="636466"/>
          <w:sz w:val="22"/>
        </w:rPr>
        <w:t>The V.A.L.U.E. Blueprint gives practice owners a clearer commercial view of what is building — or reducing — the value of the business.</w:t>
      </w:r>
    </w:p>
    <w:p>
      <w:pPr>
        <w:spacing w:after="160" w:line="293" w:lineRule="auto"/>
      </w:pPr>
      <w:r>
        <w:rPr>
          <w:rFonts w:ascii="Aptos" w:hAnsi="Aptos" w:eastAsia="Aptos"/>
          <w:b w:val="0"/>
          <w:i w:val="0"/>
          <w:color w:val="4D4D4F"/>
          <w:sz w:val="21"/>
        </w:rPr>
        <w:t>Most Allied Health businesses do not fail because their owners are not capable clinicians. They stall because the owner is carrying too much of the commercial machine: the numbers, the diary, the team decisions, the client journey and the next growth move.</w:t>
      </w:r>
    </w:p>
    <w:p>
      <w:pPr>
        <w:spacing w:after="160" w:line="293" w:lineRule="auto"/>
      </w:pPr>
      <w:r>
        <w:rPr>
          <w:rFonts w:ascii="Aptos" w:hAnsi="Aptos" w:eastAsia="Aptos"/>
          <w:b w:val="0"/>
          <w:i w:val="0"/>
          <w:color w:val="4D4D4F"/>
          <w:sz w:val="21"/>
        </w:rPr>
        <w:t>V.A.L.U.E. is a simple lens for turning that pressure into priorities. Score each question from 1 (not in place) to 5 (consistently working). Do not chase a perfect score. Use the score to decide what needs attention first.</w:t>
      </w:r>
    </w:p>
    <w:tbl>
      <w:tblPr>
        <w:tblW w:type="auto" w:w="0"/>
        <w:jc w:val="center"/>
        <w:tblLayout w:type="fixed"/>
        <w:tblLook w:firstColumn="1" w:firstRow="1" w:lastColumn="0" w:lastRow="0" w:noHBand="0" w:noVBand="1" w:val="04A0"/>
      </w:tblPr>
      <w:tblGrid>
        <w:gridCol w:w="5141"/>
        <w:gridCol w:w="5141"/>
      </w:tblGrid>
      <w:tr>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V</w:t>
            </w:r>
          </w:p>
          <w:p>
            <w:pPr>
              <w:spacing w:after="120"/>
            </w:pPr>
            <w:r>
              <w:rPr>
                <w:rFonts w:ascii="Aptos Display" w:hAnsi="Aptos Display" w:eastAsia="Aptos Display"/>
                <w:b/>
                <w:i w:val="0"/>
                <w:color w:val="242426"/>
                <w:sz w:val="25"/>
              </w:rPr>
              <w:t>Visibility</w:t>
            </w:r>
          </w:p>
          <w:p>
            <w:pPr>
              <w:spacing w:after="0"/>
            </w:pPr>
            <w:r>
              <w:rPr>
                <w:rFonts w:ascii="Aptos" w:hAnsi="Aptos" w:eastAsia="Aptos"/>
                <w:b w:val="0"/>
                <w:i w:val="0"/>
                <w:color w:val="636466"/>
                <w:sz w:val="18"/>
              </w:rPr>
              <w:t>You can see the numbers that drive cash, margin, capacity and momentum — early enough to act.</w:t>
            </w:r>
          </w:p>
        </w:tc>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A</w:t>
            </w:r>
          </w:p>
          <w:p>
            <w:pPr>
              <w:spacing w:after="120"/>
            </w:pPr>
            <w:r>
              <w:rPr>
                <w:rFonts w:ascii="Aptos Display" w:hAnsi="Aptos Display" w:eastAsia="Aptos Display"/>
                <w:b/>
                <w:i w:val="0"/>
                <w:color w:val="242426"/>
                <w:sz w:val="25"/>
              </w:rPr>
              <w:t>Accountability</w:t>
            </w:r>
          </w:p>
          <w:p>
            <w:pPr>
              <w:spacing w:after="0"/>
            </w:pPr>
            <w:r>
              <w:rPr>
                <w:rFonts w:ascii="Aptos" w:hAnsi="Aptos" w:eastAsia="Aptos"/>
                <w:b w:val="0"/>
                <w:i w:val="0"/>
                <w:color w:val="636466"/>
                <w:sz w:val="18"/>
              </w:rPr>
              <w:t>The right people own the right actions. Meetings create decisions, not more work for the owner.</w:t>
            </w:r>
          </w:p>
        </w:tc>
      </w:tr>
      <w:tr>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L</w:t>
            </w:r>
          </w:p>
          <w:p>
            <w:pPr>
              <w:spacing w:after="120"/>
            </w:pPr>
            <w:r>
              <w:rPr>
                <w:rFonts w:ascii="Aptos Display" w:hAnsi="Aptos Display" w:eastAsia="Aptos Display"/>
                <w:b/>
                <w:i w:val="0"/>
                <w:color w:val="242426"/>
                <w:sz w:val="25"/>
              </w:rPr>
              <w:t>Leverage</w:t>
            </w:r>
          </w:p>
          <w:p>
            <w:pPr>
              <w:spacing w:after="0"/>
            </w:pPr>
            <w:r>
              <w:rPr>
                <w:rFonts w:ascii="Aptos" w:hAnsi="Aptos" w:eastAsia="Aptos"/>
                <w:b w:val="0"/>
                <w:i w:val="0"/>
                <w:color w:val="636466"/>
                <w:sz w:val="18"/>
              </w:rPr>
              <w:t>Systems and capability make the practice less dependent on one person.</w:t>
            </w:r>
          </w:p>
        </w:tc>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U</w:t>
            </w:r>
          </w:p>
          <w:p>
            <w:pPr>
              <w:spacing w:after="120"/>
            </w:pPr>
            <w:r>
              <w:rPr>
                <w:rFonts w:ascii="Aptos Display" w:hAnsi="Aptos Display" w:eastAsia="Aptos Display"/>
                <w:b/>
                <w:i w:val="0"/>
                <w:color w:val="242426"/>
                <w:sz w:val="25"/>
              </w:rPr>
              <w:t>Utilisation</w:t>
            </w:r>
          </w:p>
          <w:p>
            <w:pPr>
              <w:spacing w:after="0"/>
            </w:pPr>
            <w:r>
              <w:rPr>
                <w:rFonts w:ascii="Aptos" w:hAnsi="Aptos" w:eastAsia="Aptos"/>
                <w:b w:val="0"/>
                <w:i w:val="0"/>
                <w:color w:val="636466"/>
                <w:sz w:val="18"/>
              </w:rPr>
              <w:t>Clinical capacity converts into revenue with minimal diary leakage and avoidable cancellations.</w:t>
            </w:r>
          </w:p>
        </w:tc>
      </w:tr>
      <w:tr>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E</w:t>
            </w:r>
          </w:p>
          <w:p>
            <w:pPr>
              <w:spacing w:after="120"/>
            </w:pPr>
            <w:r>
              <w:rPr>
                <w:rFonts w:ascii="Aptos Display" w:hAnsi="Aptos Display" w:eastAsia="Aptos Display"/>
                <w:b/>
                <w:i w:val="0"/>
                <w:color w:val="242426"/>
                <w:sz w:val="25"/>
              </w:rPr>
              <w:t>Enterprise Value</w:t>
            </w:r>
          </w:p>
          <w:p>
            <w:pPr>
              <w:spacing w:after="0"/>
            </w:pPr>
            <w:r>
              <w:rPr>
                <w:rFonts w:ascii="Aptos" w:hAnsi="Aptos" w:eastAsia="Aptos"/>
                <w:b w:val="0"/>
                <w:i w:val="0"/>
                <w:color w:val="636466"/>
                <w:sz w:val="18"/>
              </w:rPr>
              <w:t>The business is deliberately built as a transferable asset, not simply an owner-operated job.</w:t>
            </w:r>
          </w:p>
        </w:tc>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HOW TO USE</w:t>
            </w:r>
          </w:p>
          <w:p>
            <w:pPr>
              <w:spacing w:after="120"/>
            </w:pPr>
            <w:r>
              <w:rPr>
                <w:rFonts w:ascii="Aptos Display" w:hAnsi="Aptos Display" w:eastAsia="Aptos Display"/>
                <w:b/>
                <w:i w:val="0"/>
                <w:color w:val="242426"/>
                <w:sz w:val="25"/>
              </w:rPr>
              <w:t>45 minutes</w:t>
            </w:r>
          </w:p>
          <w:p>
            <w:pPr>
              <w:spacing w:after="0"/>
            </w:pPr>
            <w:r>
              <w:rPr>
                <w:rFonts w:ascii="Aptos" w:hAnsi="Aptos" w:eastAsia="Aptos"/>
                <w:b w:val="0"/>
                <w:i w:val="0"/>
                <w:color w:val="636466"/>
                <w:sz w:val="18"/>
              </w:rPr>
              <w:t>Score honestly, circle the two lowest dimensions, then choose one 90-day priority at the back of this Blueprint.</w:t>
            </w:r>
          </w:p>
        </w:tc>
      </w:tr>
    </w:tbl>
    <w:tbl>
      <w:tblPr>
        <w:tblW w:type="auto" w:w="0"/>
        <w:jc w:val="center"/>
        <w:tblLayout w:type="fixed"/>
        <w:tblLook w:firstColumn="1" w:firstRow="1" w:lastColumn="0" w:lastRow="0" w:noHBand="0" w:noVBand="1" w:val="04A0"/>
      </w:tblPr>
      <w:tblGrid>
        <w:gridCol w:w="9360"/>
      </w:tblGrid>
      <w:tr>
        <w:tc>
          <w:tcPr>
            <w:tcW w:type="dxa" w:w="10282"/>
            <w:shd w:fill="F7F7F7"/>
            <w:tcMar>
              <w:top w:w="100" w:type="dxa"/>
              <w:start w:w="160" w:type="dxa"/>
              <w:bottom w:w="100" w:type="dxa"/>
              <w:end w:w="160" w:type="dxa"/>
            </w:tcMar>
            <w:tcBorders>
              <w:top w:val="nil"/>
              <w:left w:val="single" w:sz="18" w:color="CE181E"/>
              <w:bottom w:val="nil"/>
              <w:right w:val="nil"/>
            </w:tcBorders>
          </w:tcPr>
          <w:p>
            <w:pPr>
              <w:spacing w:after="80"/>
            </w:pPr>
            <w:r/>
            <w:r>
              <w:rPr>
                <w:rFonts w:ascii="Aptos" w:hAnsi="Aptos" w:eastAsia="Aptos"/>
                <w:b w:val="0"/>
                <w:i/>
                <w:color w:val="4D4D4F"/>
                <w:sz w:val="18"/>
              </w:rPr>
              <w:t>“Better than a thousand useless words is one useful word, hearing which one attains peace.”</w:t>
            </w:r>
          </w:p>
          <w:p>
            <w:pPr>
              <w:spacing w:after="0"/>
            </w:pPr>
            <w:r>
              <w:rPr>
                <w:rFonts w:ascii="Aptos" w:hAnsi="Aptos" w:eastAsia="Aptos"/>
                <w:b/>
                <w:i w:val="0"/>
                <w:color w:val="A70E13"/>
                <w:sz w:val="16"/>
              </w:rPr>
              <w:t>— The Buddha, Dhammapada, Chapter 8</w:t>
            </w:r>
          </w:p>
        </w:tc>
      </w:tr>
    </w:tbl>
    <w:tbl>
      <w:tblPr>
        <w:tblW w:type="auto" w:w="0"/>
        <w:jc w:val="center"/>
        <w:tblLayout w:type="fixed"/>
        <w:tblLook w:firstColumn="1" w:firstRow="1" w:lastColumn="0" w:lastRow="0" w:noHBand="0" w:noVBand="1" w:val="04A0"/>
      </w:tblPr>
      <w:tblGrid>
        <w:gridCol w:w="9360"/>
      </w:tblGrid>
      <w:tr>
        <w:tc>
          <w:tcPr>
            <w:tcW w:type="dxa" w:w="10282"/>
            <w:shd w:fill="4D4D4F"/>
            <w:tcMar>
              <w:top w:w="170" w:type="dxa"/>
              <w:start w:w="250" w:type="dxa"/>
              <w:bottom w:w="170" w:type="dxa"/>
              <w:end w:w="250" w:type="dxa"/>
            </w:tcMar>
            <w:tcBorders>
              <w:top w:val="nil"/>
              <w:left w:val="nil"/>
              <w:bottom w:val="nil"/>
              <w:right w:val="nil"/>
            </w:tcBorders>
          </w:tcPr>
          <w:p>
            <w:pPr>
              <w:spacing w:after="0"/>
              <w:jc w:val="center"/>
            </w:pPr>
            <w:r/>
            <w:r>
              <w:rPr>
                <w:rFonts w:ascii="Aptos" w:hAnsi="Aptos" w:eastAsia="Aptos"/>
                <w:b/>
                <w:i w:val="0"/>
                <w:color w:val="FFFFFF"/>
                <w:sz w:val="16"/>
              </w:rPr>
              <w:t>THE DECISION RULE</w:t>
            </w:r>
          </w:p>
          <w:p>
            <w:pPr>
              <w:spacing w:after="100"/>
              <w:jc w:val="center"/>
            </w:pPr>
            <w:r>
              <w:rPr>
                <w:rFonts w:ascii="Aptos Display" w:hAnsi="Aptos Display" w:eastAsia="Aptos Display"/>
                <w:b/>
                <w:i w:val="0"/>
                <w:color w:val="FFFFFF"/>
                <w:sz w:val="40"/>
              </w:rPr>
              <w:t>Fix the constraint, not the symptom.</w:t>
            </w:r>
          </w:p>
          <w:p>
            <w:pPr>
              <w:jc w:val="center"/>
            </w:pPr>
            <w:r>
              <w:rPr>
                <w:rFonts w:ascii="Aptos" w:hAnsi="Aptos" w:eastAsia="Aptos"/>
                <w:b w:val="0"/>
                <w:i w:val="0"/>
                <w:color w:val="FFFFFF"/>
                <w:sz w:val="21"/>
              </w:rPr>
              <w:t>A low score is not a failure. It is a cue to focus the next commercial decision.</w:t>
            </w:r>
          </w:p>
        </w:tc>
      </w:tr>
    </w:tbl>
    <w:p>
      <w:pPr>
        <w:spacing w:after="120"/>
      </w:pPr>
    </w:p>
    <w:p>
      <w:r>
        <w:br w:type="page"/>
      </w:r>
    </w:p>
    <w:p>
      <w:pPr>
        <w:spacing w:after="240"/>
      </w:pPr>
      <w:r>
        <w:rPr>
          <w:sz w:val="6"/>
        </w:rPr>
        <w:t xml:space="preserve"> </w:t>
      </w:r>
    </w:p>
    <w:tbl>
      <w:tblPr>
        <w:tblW w:type="auto" w:w="0"/>
        <w:jc w:val="center"/>
        <w:tblLayout w:type="fixed"/>
        <w:tblLook w:firstColumn="1" w:firstRow="1" w:lastColumn="0" w:lastRow="0" w:noHBand="0" w:noVBand="1" w:val="04A0"/>
      </w:tblPr>
      <w:tblGrid>
        <w:gridCol w:w="9360"/>
      </w:tblGrid>
      <w:tr>
        <w:tc>
          <w:tcPr>
            <w:tcW w:type="dxa" w:w="10282"/>
            <w:shd w:fill="CE181E"/>
            <w:tcMar>
              <w:top w:w="170" w:type="dxa"/>
              <w:start w:w="250" w:type="dxa"/>
              <w:bottom w:w="170" w:type="dxa"/>
              <w:end w:w="250" w:type="dxa"/>
            </w:tcMar>
            <w:tcBorders>
              <w:top w:val="nil"/>
              <w:left w:val="nil"/>
              <w:bottom w:val="nil"/>
              <w:right w:val="nil"/>
            </w:tcBorders>
          </w:tcPr>
          <w:p>
            <w:pPr>
              <w:spacing w:after="0"/>
              <w:jc w:val="center"/>
            </w:pPr>
            <w:r/>
            <w:r>
              <w:rPr>
                <w:rFonts w:ascii="Aptos" w:hAnsi="Aptos" w:eastAsia="Aptos"/>
                <w:b/>
                <w:i w:val="0"/>
                <w:color w:val="FFFFFF"/>
                <w:sz w:val="16"/>
              </w:rPr>
              <w:t>V.A.L.U.E. DIMENSION V</w:t>
            </w:r>
          </w:p>
          <w:p>
            <w:pPr>
              <w:spacing w:after="100"/>
              <w:jc w:val="center"/>
            </w:pPr>
            <w:r>
              <w:rPr>
                <w:rFonts w:ascii="Aptos Display" w:hAnsi="Aptos Display" w:eastAsia="Aptos Display"/>
                <w:b/>
                <w:i w:val="0"/>
                <w:color w:val="FFFFFF"/>
                <w:sz w:val="40"/>
              </w:rPr>
              <w:t>Visibility</w:t>
            </w:r>
          </w:p>
          <w:p>
            <w:pPr>
              <w:jc w:val="center"/>
            </w:pPr>
            <w:r>
              <w:rPr>
                <w:rFonts w:ascii="Aptos" w:hAnsi="Aptos" w:eastAsia="Aptos"/>
                <w:b w:val="0"/>
                <w:i w:val="0"/>
                <w:color w:val="FFFFFF"/>
                <w:sz w:val="21"/>
              </w:rPr>
              <w:t>Can you see the commercial truth early enough to act?</w:t>
            </w:r>
          </w:p>
        </w:tc>
      </w:tr>
    </w:tbl>
    <w:p>
      <w:pPr>
        <w:spacing w:after="120"/>
      </w:pPr>
    </w:p>
    <w:tbl>
      <w:tblPr>
        <w:tblStyle w:val="TableGrid"/>
        <w:tblW w:type="auto" w:w="0"/>
        <w:jc w:val="center"/>
        <w:tblLayout w:type="fixed"/>
        <w:tblLook w:firstColumn="1" w:firstRow="1" w:lastColumn="0" w:lastRow="0" w:noHBand="0" w:noVBand="1" w:val="04A0"/>
      </w:tblPr>
      <w:tblGrid>
        <w:gridCol w:w="5616"/>
        <w:gridCol w:w="1656"/>
        <w:gridCol w:w="1800"/>
      </w:tblGrid>
      <w:tr>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DIAGNOSTIC QUESTION</w:t>
            </w:r>
          </w:p>
        </w:tc>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SCORE 1–5</w:t>
            </w:r>
          </w:p>
        </w:tc>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EVIDENCE / FIRST MOVE</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 you review a small KPI dashboard every month — revenue, gross margin, utilisation, cash and debtor position?</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Can you see performance by location, clinician, service line or funding stream without rebuilding the numbers manually?</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 you know which services and referral sources are genuinely profitable, not just busy?</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Does your cash forecast look at least 13 weeks ahead and identify pressure points before they arrive?</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Are targets linked to actual capacity, pricing and margin rather than an annual wish list?</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bl>
    <w:p>
      <w:pPr>
        <w:spacing w:before="160" w:after="240"/>
      </w:pPr>
      <w:r>
        <w:rPr>
          <w:rFonts w:ascii="Aptos" w:hAnsi="Aptos" w:eastAsia="Aptos"/>
          <w:b/>
          <w:i w:val="0"/>
          <w:color w:val="A70E13"/>
          <w:sz w:val="20"/>
        </w:rPr>
        <w:t xml:space="preserve">First move: </w:t>
      </w:r>
      <w:r>
        <w:rPr>
          <w:rFonts w:ascii="Aptos" w:hAnsi="Aptos" w:eastAsia="Aptos"/>
          <w:b w:val="0"/>
          <w:i w:val="0"/>
          <w:color w:val="4D4D4F"/>
          <w:sz w:val="20"/>
        </w:rPr>
        <w:t>Create a monthly owner dashboard with no more than eight measures. Review it on the same day each month.</w:t>
      </w:r>
    </w:p>
    <w:p>
      <w:pPr>
        <w:spacing w:before="160" w:after="0"/>
      </w:pPr>
      <w:r>
        <w:rPr>
          <w:rFonts w:ascii="Aptos" w:hAnsi="Aptos" w:eastAsia="Aptos"/>
          <w:b/>
          <w:i w:val="0"/>
          <w:color w:val="242426"/>
          <w:sz w:val="22"/>
        </w:rPr>
        <w:t xml:space="preserve">Score this dimension: </w:t>
      </w:r>
      <w:r>
        <w:rPr>
          <w:rFonts w:ascii="Aptos" w:hAnsi="Aptos" w:eastAsia="Aptos"/>
          <w:b/>
          <w:i w:val="0"/>
          <w:color w:val="CE181E"/>
          <w:sz w:val="22"/>
        </w:rPr>
        <w:t>____ / 25</w:t>
      </w:r>
    </w:p>
    <w:tbl>
      <w:tblPr>
        <w:tblW w:type="auto" w:w="0"/>
        <w:jc w:val="center"/>
        <w:tblLayout w:type="fixed"/>
        <w:tblLook w:firstColumn="1" w:firstRow="1" w:lastColumn="0" w:lastRow="0" w:noHBand="0" w:noVBand="1" w:val="04A0"/>
      </w:tblPr>
      <w:tblGrid>
        <w:gridCol w:w="4680"/>
        <w:gridCol w:w="4680"/>
      </w:tblGrid>
      <w:tr>
        <w:tc>
          <w:tcPr>
            <w:tcW w:type="dxa" w:w="10282"/>
            <w:gridSpan w:val="2"/>
            <w:shd w:fill="4D4D4F"/>
            <w:tcMar>
              <w:top w:w="90" w:type="dxa"/>
              <w:start w:w="140" w:type="dxa"/>
              <w:bottom w:w="90" w:type="dxa"/>
              <w:end w:w="140" w:type="dxa"/>
            </w:tcMar>
            <w:tcBorders>
              <w:top w:val="single" w:sz="8" w:color="CE181E"/>
              <w:left w:val="nil"/>
              <w:bottom w:val="nil"/>
              <w:right w:val="nil"/>
            </w:tcBorders>
          </w:tcPr>
          <w:p>
            <w:pPr>
              <w:spacing w:after="60"/>
            </w:pPr>
            <w:r/>
            <w:r>
              <w:rPr>
                <w:rFonts w:ascii="Aptos" w:hAnsi="Aptos" w:eastAsia="Aptos"/>
                <w:b/>
                <w:i w:val="0"/>
                <w:color w:val="FFFFFF"/>
                <w:sz w:val="17"/>
              </w:rPr>
              <w:t>WHERE SHURIKEN COULD HELP — VISIBILITY</w:t>
            </w:r>
          </w:p>
          <w:p>
            <w:pPr>
              <w:spacing w:after="0"/>
            </w:pPr>
            <w:r>
              <w:rPr>
                <w:rFonts w:ascii="Aptos" w:hAnsi="Aptos" w:eastAsia="Aptos"/>
                <w:b w:val="0"/>
                <w:i w:val="0"/>
                <w:color w:val="FFFFFF"/>
                <w:sz w:val="16"/>
              </w:rPr>
              <w:t>Tick up to two areas you want to explore in your complimentary Discovery Meeting.</w:t>
            </w:r>
          </w:p>
        </w:tc>
      </w:tr>
      <w:tr>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KPI dashboard &amp; owner reporting</w:t>
            </w:r>
          </w:p>
        </w:tc>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Xero management reporting</w:t>
            </w:r>
          </w:p>
        </w:tc>
      </w:tr>
      <w:tr>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13-week cash-flow forecasting</w:t>
            </w:r>
          </w:p>
        </w:tc>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Pricing &amp; margin review</w:t>
            </w:r>
          </w:p>
        </w:tc>
      </w:tr>
      <w:tr>
        <w:tc>
          <w:tcPr>
            <w:tcW w:type="dxa" w:w="10282"/>
            <w:gridSpan w:val="2"/>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Performance by service, clinician or location</w:t>
            </w:r>
          </w:p>
        </w:tc>
      </w:tr>
      <w:tr>
        <w:tc>
          <w:tcPr>
            <w:tcW w:type="dxa" w:w="10282"/>
            <w:gridSpan w:val="2"/>
            <w:shd w:fill="FFFFFF"/>
            <w:tcMar>
              <w:top w:w="75" w:type="dxa"/>
              <w:start w:w="110" w:type="dxa"/>
              <w:bottom w:w="85" w:type="dxa"/>
              <w:end w:w="110" w:type="dxa"/>
            </w:tcMar>
            <w:tcBorders>
              <w:top w:val="single" w:sz="5" w:color="CE181E"/>
              <w:left w:val="single" w:sz="3" w:color="D9D9D9"/>
              <w:bottom w:val="single" w:sz="3" w:color="D9D9D9"/>
              <w:right w:val="single" w:sz="3" w:color="D9D9D9"/>
            </w:tcBorders>
          </w:tcPr>
          <w:p>
            <w:pPr>
              <w:spacing w:after="60"/>
            </w:pPr>
            <w:r/>
            <w:r>
              <w:rPr>
                <w:rFonts w:ascii="Aptos" w:hAnsi="Aptos" w:eastAsia="Aptos"/>
                <w:b/>
                <w:i w:val="0"/>
                <w:color w:val="A70E13"/>
                <w:sz w:val="16"/>
              </w:rPr>
              <w:t>YOUR MEETING NOTE — What is the one commercial question you want discussed?</w:t>
            </w:r>
          </w:p>
          <w:p>
            <w:pPr>
              <w:spacing w:after="0"/>
            </w:pPr>
            <w:r>
              <w:rPr>
                <w:rFonts w:ascii="Aptos" w:hAnsi="Aptos" w:eastAsia="Aptos"/>
                <w:b w:val="0"/>
                <w:i w:val="0"/>
                <w:color w:val="636466"/>
                <w:sz w:val="17"/>
              </w:rPr>
              <w:t>________________________________________________________________________________</w:t>
            </w:r>
          </w:p>
        </w:tc>
      </w:tr>
    </w:tbl>
    <w:tbl>
      <w:tblPr>
        <w:tblW w:type="auto" w:w="0"/>
        <w:jc w:val="center"/>
        <w:tblLayout w:type="fixed"/>
        <w:tblLook w:firstColumn="1" w:firstRow="1" w:lastColumn="0" w:lastRow="0" w:noHBand="0" w:noVBand="1" w:val="04A0"/>
      </w:tblPr>
      <w:tblGrid>
        <w:gridCol w:w="9360"/>
      </w:tblGrid>
      <w:tr>
        <w:tc>
          <w:tcPr>
            <w:tcW w:type="dxa" w:w="10282"/>
            <w:shd w:fill="F7F7F7"/>
            <w:tcMar>
              <w:top w:w="100" w:type="dxa"/>
              <w:start w:w="160" w:type="dxa"/>
              <w:bottom w:w="100" w:type="dxa"/>
              <w:end w:w="160" w:type="dxa"/>
            </w:tcMar>
            <w:tcBorders>
              <w:top w:val="nil"/>
              <w:left w:val="single" w:sz="18" w:color="CE181E"/>
              <w:bottom w:val="nil"/>
              <w:right w:val="nil"/>
            </w:tcBorders>
          </w:tcPr>
          <w:p>
            <w:pPr>
              <w:spacing w:after="80"/>
            </w:pPr>
            <w:r/>
            <w:r>
              <w:rPr>
                <w:rFonts w:ascii="Aptos" w:hAnsi="Aptos" w:eastAsia="Aptos"/>
                <w:b w:val="0"/>
                <w:i/>
                <w:color w:val="4D4D4F"/>
                <w:sz w:val="18"/>
              </w:rPr>
              <w:t>“Whatever the mind can conceive and believe, it can achieve.”</w:t>
            </w:r>
          </w:p>
          <w:p>
            <w:pPr>
              <w:spacing w:after="0"/>
            </w:pPr>
            <w:r>
              <w:rPr>
                <w:rFonts w:ascii="Aptos" w:hAnsi="Aptos" w:eastAsia="Aptos"/>
                <w:b/>
                <w:i w:val="0"/>
                <w:color w:val="A70E13"/>
                <w:sz w:val="16"/>
              </w:rPr>
              <w:t>— Napoleon Hill</w:t>
            </w:r>
          </w:p>
        </w:tc>
      </w:tr>
    </w:tbl>
    <w:p>
      <w:r>
        <w:br w:type="page"/>
      </w:r>
    </w:p>
    <w:p>
      <w:pPr>
        <w:spacing w:after="240"/>
      </w:pPr>
      <w:r>
        <w:rPr>
          <w:sz w:val="6"/>
        </w:rPr>
        <w:t xml:space="preserve"> </w:t>
      </w:r>
    </w:p>
    <w:tbl>
      <w:tblPr>
        <w:tblW w:type="auto" w:w="0"/>
        <w:jc w:val="center"/>
        <w:tblLayout w:type="fixed"/>
        <w:tblLook w:firstColumn="1" w:firstRow="1" w:lastColumn="0" w:lastRow="0" w:noHBand="0" w:noVBand="1" w:val="04A0"/>
      </w:tblPr>
      <w:tblGrid>
        <w:gridCol w:w="9360"/>
      </w:tblGrid>
      <w:tr>
        <w:tc>
          <w:tcPr>
            <w:tcW w:type="dxa" w:w="10282"/>
            <w:shd w:fill="4D4D4F"/>
            <w:tcMar>
              <w:top w:w="170" w:type="dxa"/>
              <w:start w:w="250" w:type="dxa"/>
              <w:bottom w:w="170" w:type="dxa"/>
              <w:end w:w="250" w:type="dxa"/>
            </w:tcMar>
            <w:tcBorders>
              <w:top w:val="nil"/>
              <w:left w:val="nil"/>
              <w:bottom w:val="nil"/>
              <w:right w:val="nil"/>
            </w:tcBorders>
          </w:tcPr>
          <w:p>
            <w:pPr>
              <w:spacing w:after="0"/>
              <w:jc w:val="center"/>
            </w:pPr>
            <w:r/>
            <w:r>
              <w:rPr>
                <w:rFonts w:ascii="Aptos" w:hAnsi="Aptos" w:eastAsia="Aptos"/>
                <w:b/>
                <w:i w:val="0"/>
                <w:color w:val="FFFFFF"/>
                <w:sz w:val="16"/>
              </w:rPr>
              <w:t>V.A.L.U.E. DIMENSION A</w:t>
            </w:r>
          </w:p>
          <w:p>
            <w:pPr>
              <w:spacing w:after="100"/>
              <w:jc w:val="center"/>
            </w:pPr>
            <w:r>
              <w:rPr>
                <w:rFonts w:ascii="Aptos Display" w:hAnsi="Aptos Display" w:eastAsia="Aptos Display"/>
                <w:b/>
                <w:i w:val="0"/>
                <w:color w:val="FFFFFF"/>
                <w:sz w:val="40"/>
              </w:rPr>
              <w:t>Accountability</w:t>
            </w:r>
          </w:p>
          <w:p>
            <w:pPr>
              <w:jc w:val="center"/>
            </w:pPr>
            <w:r>
              <w:rPr>
                <w:rFonts w:ascii="Aptos" w:hAnsi="Aptos" w:eastAsia="Aptos"/>
                <w:b w:val="0"/>
                <w:i w:val="0"/>
                <w:color w:val="FFFFFF"/>
                <w:sz w:val="21"/>
              </w:rPr>
              <w:t>Does the practice improve because ownership is clear?</w:t>
            </w:r>
          </w:p>
        </w:tc>
      </w:tr>
    </w:tbl>
    <w:p>
      <w:pPr>
        <w:spacing w:after="120"/>
      </w:pPr>
    </w:p>
    <w:tbl>
      <w:tblPr>
        <w:tblStyle w:val="TableGrid"/>
        <w:tblW w:type="auto" w:w="0"/>
        <w:jc w:val="center"/>
        <w:tblLayout w:type="fixed"/>
        <w:tblLook w:firstColumn="1" w:firstRow="1" w:lastColumn="0" w:lastRow="0" w:noHBand="0" w:noVBand="1" w:val="04A0"/>
      </w:tblPr>
      <w:tblGrid>
        <w:gridCol w:w="5616"/>
        <w:gridCol w:w="1656"/>
        <w:gridCol w:w="1800"/>
      </w:tblGrid>
      <w:tr>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DIAGNOSTIC QUESTION</w:t>
            </w:r>
          </w:p>
        </w:tc>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SCORE 1–5</w:t>
            </w:r>
          </w:p>
        </w:tc>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EVIDENCE / FIRST MOVE</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Does every commercial priority have one named owner, a due date and a documented next action?</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 management meetings finish with decisions and commitments rather than open discussion?</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Are individual and team expectations clear enough to coach against?</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 you regularly close the loop on actions agreed at the previous meeting?</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Can the team solve routine operational issues without the owner becoming the default decision-maker?</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bl>
    <w:p>
      <w:pPr>
        <w:spacing w:before="160" w:after="240"/>
      </w:pPr>
      <w:r>
        <w:rPr>
          <w:rFonts w:ascii="Aptos" w:hAnsi="Aptos" w:eastAsia="Aptos"/>
          <w:b/>
          <w:i w:val="0"/>
          <w:color w:val="A70E13"/>
          <w:sz w:val="20"/>
        </w:rPr>
        <w:t xml:space="preserve">First move: </w:t>
      </w:r>
      <w:r>
        <w:rPr>
          <w:rFonts w:ascii="Aptos" w:hAnsi="Aptos" w:eastAsia="Aptos"/>
          <w:b w:val="0"/>
          <w:i w:val="0"/>
          <w:color w:val="4D4D4F"/>
          <w:sz w:val="20"/>
        </w:rPr>
        <w:t>Install a 45-minute weekly leadership rhythm: numbers, decisions, owners, due dates and a written action register.</w:t>
      </w:r>
    </w:p>
    <w:p>
      <w:pPr>
        <w:spacing w:before="160" w:after="0"/>
      </w:pPr>
      <w:r>
        <w:rPr>
          <w:rFonts w:ascii="Aptos" w:hAnsi="Aptos" w:eastAsia="Aptos"/>
          <w:b/>
          <w:i w:val="0"/>
          <w:color w:val="242426"/>
          <w:sz w:val="22"/>
        </w:rPr>
        <w:t xml:space="preserve">Score this dimension: </w:t>
      </w:r>
      <w:r>
        <w:rPr>
          <w:rFonts w:ascii="Aptos" w:hAnsi="Aptos" w:eastAsia="Aptos"/>
          <w:b/>
          <w:i w:val="0"/>
          <w:color w:val="CE181E"/>
          <w:sz w:val="22"/>
        </w:rPr>
        <w:t>____ / 25</w:t>
      </w:r>
    </w:p>
    <w:tbl>
      <w:tblPr>
        <w:tblW w:type="auto" w:w="0"/>
        <w:jc w:val="center"/>
        <w:tblLayout w:type="fixed"/>
        <w:tblLook w:firstColumn="1" w:firstRow="1" w:lastColumn="0" w:lastRow="0" w:noHBand="0" w:noVBand="1" w:val="04A0"/>
      </w:tblPr>
      <w:tblGrid>
        <w:gridCol w:w="4680"/>
        <w:gridCol w:w="4680"/>
      </w:tblGrid>
      <w:tr>
        <w:tc>
          <w:tcPr>
            <w:tcW w:type="dxa" w:w="10282"/>
            <w:gridSpan w:val="2"/>
            <w:shd w:fill="4D4D4F"/>
            <w:tcMar>
              <w:top w:w="90" w:type="dxa"/>
              <w:start w:w="140" w:type="dxa"/>
              <w:bottom w:w="90" w:type="dxa"/>
              <w:end w:w="140" w:type="dxa"/>
            </w:tcMar>
            <w:tcBorders>
              <w:top w:val="single" w:sz="8" w:color="CE181E"/>
              <w:left w:val="nil"/>
              <w:bottom w:val="nil"/>
              <w:right w:val="nil"/>
            </w:tcBorders>
          </w:tcPr>
          <w:p>
            <w:pPr>
              <w:spacing w:after="60"/>
            </w:pPr>
            <w:r/>
            <w:r>
              <w:rPr>
                <w:rFonts w:ascii="Aptos" w:hAnsi="Aptos" w:eastAsia="Aptos"/>
                <w:b/>
                <w:i w:val="0"/>
                <w:color w:val="FFFFFF"/>
                <w:sz w:val="17"/>
              </w:rPr>
              <w:t>WHERE SHURIKEN COULD HELP — ACCOUNTABILITY</w:t>
            </w:r>
          </w:p>
          <w:p>
            <w:pPr>
              <w:spacing w:after="0"/>
            </w:pPr>
            <w:r>
              <w:rPr>
                <w:rFonts w:ascii="Aptos" w:hAnsi="Aptos" w:eastAsia="Aptos"/>
                <w:b w:val="0"/>
                <w:i w:val="0"/>
                <w:color w:val="FFFFFF"/>
                <w:sz w:val="16"/>
              </w:rPr>
              <w:t>Tick up to two areas you want to explore in your complimentary Discovery Meeting.</w:t>
            </w:r>
          </w:p>
        </w:tc>
      </w:tr>
      <w:tr>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Leadership rhythm &amp; action register</w:t>
            </w:r>
          </w:p>
        </w:tc>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Role clarity &amp; accountability map</w:t>
            </w:r>
          </w:p>
        </w:tc>
      </w:tr>
      <w:tr>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Management reporting cadence</w:t>
            </w:r>
          </w:p>
        </w:tc>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Team performance measures</w:t>
            </w:r>
          </w:p>
        </w:tc>
      </w:tr>
      <w:tr>
        <w:tc>
          <w:tcPr>
            <w:tcW w:type="dxa" w:w="10282"/>
            <w:gridSpan w:val="2"/>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Owner workload &amp; delegation plan</w:t>
            </w:r>
          </w:p>
        </w:tc>
      </w:tr>
      <w:tr>
        <w:tc>
          <w:tcPr>
            <w:tcW w:type="dxa" w:w="10282"/>
            <w:gridSpan w:val="2"/>
            <w:shd w:fill="FFFFFF"/>
            <w:tcMar>
              <w:top w:w="75" w:type="dxa"/>
              <w:start w:w="110" w:type="dxa"/>
              <w:bottom w:w="85" w:type="dxa"/>
              <w:end w:w="110" w:type="dxa"/>
            </w:tcMar>
            <w:tcBorders>
              <w:top w:val="single" w:sz="5" w:color="CE181E"/>
              <w:left w:val="single" w:sz="3" w:color="D9D9D9"/>
              <w:bottom w:val="single" w:sz="3" w:color="D9D9D9"/>
              <w:right w:val="single" w:sz="3" w:color="D9D9D9"/>
            </w:tcBorders>
          </w:tcPr>
          <w:p>
            <w:pPr>
              <w:spacing w:after="60"/>
            </w:pPr>
            <w:r/>
            <w:r>
              <w:rPr>
                <w:rFonts w:ascii="Aptos" w:hAnsi="Aptos" w:eastAsia="Aptos"/>
                <w:b/>
                <w:i w:val="0"/>
                <w:color w:val="A70E13"/>
                <w:sz w:val="16"/>
              </w:rPr>
              <w:t>YOUR MEETING NOTE — What is the one commercial question you want discussed?</w:t>
            </w:r>
          </w:p>
          <w:p>
            <w:pPr>
              <w:spacing w:after="0"/>
            </w:pPr>
            <w:r>
              <w:rPr>
                <w:rFonts w:ascii="Aptos" w:hAnsi="Aptos" w:eastAsia="Aptos"/>
                <w:b w:val="0"/>
                <w:i w:val="0"/>
                <w:color w:val="636466"/>
                <w:sz w:val="17"/>
              </w:rPr>
              <w:t>________________________________________________________________________________</w:t>
            </w:r>
          </w:p>
        </w:tc>
      </w:tr>
    </w:tbl>
    <w:tbl>
      <w:tblPr>
        <w:tblW w:type="auto" w:w="0"/>
        <w:jc w:val="center"/>
        <w:tblLayout w:type="fixed"/>
        <w:tblLook w:firstColumn="1" w:firstRow="1" w:lastColumn="0" w:lastRow="0" w:noHBand="0" w:noVBand="1" w:val="04A0"/>
      </w:tblPr>
      <w:tblGrid>
        <w:gridCol w:w="9360"/>
      </w:tblGrid>
      <w:tr>
        <w:tc>
          <w:tcPr>
            <w:tcW w:type="dxa" w:w="10282"/>
            <w:shd w:fill="F7F7F7"/>
            <w:tcMar>
              <w:top w:w="100" w:type="dxa"/>
              <w:start w:w="160" w:type="dxa"/>
              <w:bottom w:w="100" w:type="dxa"/>
              <w:end w:w="160" w:type="dxa"/>
            </w:tcMar>
            <w:tcBorders>
              <w:top w:val="nil"/>
              <w:left w:val="single" w:sz="18" w:color="CE181E"/>
              <w:bottom w:val="nil"/>
              <w:right w:val="nil"/>
            </w:tcBorders>
          </w:tcPr>
          <w:p>
            <w:pPr>
              <w:spacing w:after="80"/>
            </w:pPr>
            <w:r/>
            <w:r>
              <w:rPr>
                <w:rFonts w:ascii="Aptos" w:hAnsi="Aptos" w:eastAsia="Aptos"/>
                <w:b w:val="0"/>
                <w:i/>
                <w:color w:val="4D4D4F"/>
                <w:sz w:val="18"/>
              </w:rPr>
              <w:t>“Thoughts become things. If you see it in your mind, you will hold it in your hand.”</w:t>
            </w:r>
          </w:p>
          <w:p>
            <w:pPr>
              <w:spacing w:after="0"/>
            </w:pPr>
            <w:r>
              <w:rPr>
                <w:rFonts w:ascii="Aptos" w:hAnsi="Aptos" w:eastAsia="Aptos"/>
                <w:b/>
                <w:i w:val="0"/>
                <w:color w:val="A70E13"/>
                <w:sz w:val="16"/>
              </w:rPr>
              <w:t>— Bob Proctor</w:t>
            </w:r>
          </w:p>
        </w:tc>
      </w:tr>
    </w:tbl>
    <w:p>
      <w:r>
        <w:br w:type="page"/>
      </w:r>
    </w:p>
    <w:p>
      <w:pPr>
        <w:spacing w:after="240"/>
      </w:pPr>
      <w:r>
        <w:rPr>
          <w:sz w:val="6"/>
        </w:rPr>
        <w:t xml:space="preserve"> </w:t>
      </w:r>
    </w:p>
    <w:tbl>
      <w:tblPr>
        <w:tblW w:type="auto" w:w="0"/>
        <w:jc w:val="center"/>
        <w:tblLayout w:type="fixed"/>
        <w:tblLook w:firstColumn="1" w:firstRow="1" w:lastColumn="0" w:lastRow="0" w:noHBand="0" w:noVBand="1" w:val="04A0"/>
      </w:tblPr>
      <w:tblGrid>
        <w:gridCol w:w="9360"/>
      </w:tblGrid>
      <w:tr>
        <w:tc>
          <w:tcPr>
            <w:tcW w:type="dxa" w:w="10282"/>
            <w:shd w:fill="4D4D4F"/>
            <w:tcMar>
              <w:top w:w="170" w:type="dxa"/>
              <w:start w:w="250" w:type="dxa"/>
              <w:bottom w:w="170" w:type="dxa"/>
              <w:end w:w="250" w:type="dxa"/>
            </w:tcMar>
            <w:tcBorders>
              <w:top w:val="nil"/>
              <w:left w:val="nil"/>
              <w:bottom w:val="nil"/>
              <w:right w:val="nil"/>
            </w:tcBorders>
          </w:tcPr>
          <w:p>
            <w:pPr>
              <w:spacing w:after="0"/>
              <w:jc w:val="center"/>
            </w:pPr>
            <w:r/>
            <w:r>
              <w:rPr>
                <w:rFonts w:ascii="Aptos" w:hAnsi="Aptos" w:eastAsia="Aptos"/>
                <w:b/>
                <w:i w:val="0"/>
                <w:color w:val="FFFFFF"/>
                <w:sz w:val="16"/>
              </w:rPr>
              <w:t>V.A.L.U.E. DIMENSION L</w:t>
            </w:r>
          </w:p>
          <w:p>
            <w:pPr>
              <w:spacing w:after="100"/>
              <w:jc w:val="center"/>
            </w:pPr>
            <w:r>
              <w:rPr>
                <w:rFonts w:ascii="Aptos Display" w:hAnsi="Aptos Display" w:eastAsia="Aptos Display"/>
                <w:b/>
                <w:i w:val="0"/>
                <w:color w:val="FFFFFF"/>
                <w:sz w:val="40"/>
              </w:rPr>
              <w:t>Leverage</w:t>
            </w:r>
          </w:p>
          <w:p>
            <w:pPr>
              <w:jc w:val="center"/>
            </w:pPr>
            <w:r>
              <w:rPr>
                <w:rFonts w:ascii="Aptos" w:hAnsi="Aptos" w:eastAsia="Aptos"/>
                <w:b w:val="0"/>
                <w:i w:val="0"/>
                <w:color w:val="FFFFFF"/>
                <w:sz w:val="21"/>
              </w:rPr>
              <w:t>Can the business grow without multiplying the owner’s workload?</w:t>
            </w:r>
          </w:p>
        </w:tc>
      </w:tr>
    </w:tbl>
    <w:p>
      <w:pPr>
        <w:spacing w:after="120"/>
      </w:pPr>
    </w:p>
    <w:tbl>
      <w:tblPr>
        <w:tblStyle w:val="TableGrid"/>
        <w:tblW w:type="auto" w:w="0"/>
        <w:jc w:val="center"/>
        <w:tblLayout w:type="fixed"/>
        <w:tblLook w:firstColumn="1" w:firstRow="1" w:lastColumn="0" w:lastRow="0" w:noHBand="0" w:noVBand="1" w:val="04A0"/>
      </w:tblPr>
      <w:tblGrid>
        <w:gridCol w:w="5616"/>
        <w:gridCol w:w="1656"/>
        <w:gridCol w:w="1800"/>
      </w:tblGrid>
      <w:tr>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DIAGNOSTIC QUESTION</w:t>
            </w:r>
          </w:p>
        </w:tc>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SCORE 1–5</w:t>
            </w:r>
          </w:p>
        </w:tc>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EVIDENCE / FIRST MOVE</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Are critical client, billing, people and compliance processes written down and used consistently?</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 senior team members have the authority and capability to make decisions within clear boundaries?</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Could a new clinician or administrator become productive using a repeatable onboarding path?</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 you measure the owner’s operational workload and deliberately remove work that others could own?</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Is the practice less exposed when a key person is on leave or chooses to exit?</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bl>
    <w:p>
      <w:pPr>
        <w:spacing w:before="160" w:after="240"/>
      </w:pPr>
      <w:r>
        <w:rPr>
          <w:rFonts w:ascii="Aptos" w:hAnsi="Aptos" w:eastAsia="Aptos"/>
          <w:b/>
          <w:i w:val="0"/>
          <w:color w:val="A70E13"/>
          <w:sz w:val="20"/>
        </w:rPr>
        <w:t xml:space="preserve">First move: </w:t>
      </w:r>
      <w:r>
        <w:rPr>
          <w:rFonts w:ascii="Aptos" w:hAnsi="Aptos" w:eastAsia="Aptos"/>
          <w:b w:val="0"/>
          <w:i w:val="0"/>
          <w:color w:val="4D4D4F"/>
          <w:sz w:val="20"/>
        </w:rPr>
        <w:t>Choose one recurring owner task. Document it, train another person, and run it without you for four consecutive weeks.</w:t>
      </w:r>
    </w:p>
    <w:p>
      <w:pPr>
        <w:spacing w:before="160" w:after="0"/>
      </w:pPr>
      <w:r>
        <w:rPr>
          <w:rFonts w:ascii="Aptos" w:hAnsi="Aptos" w:eastAsia="Aptos"/>
          <w:b/>
          <w:i w:val="0"/>
          <w:color w:val="242426"/>
          <w:sz w:val="22"/>
        </w:rPr>
        <w:t xml:space="preserve">Score this dimension: </w:t>
      </w:r>
      <w:r>
        <w:rPr>
          <w:rFonts w:ascii="Aptos" w:hAnsi="Aptos" w:eastAsia="Aptos"/>
          <w:b/>
          <w:i w:val="0"/>
          <w:color w:val="CE181E"/>
          <w:sz w:val="22"/>
        </w:rPr>
        <w:t>____ / 25</w:t>
      </w:r>
    </w:p>
    <w:tbl>
      <w:tblPr>
        <w:tblW w:type="auto" w:w="0"/>
        <w:jc w:val="center"/>
        <w:tblLayout w:type="fixed"/>
        <w:tblLook w:firstColumn="1" w:firstRow="1" w:lastColumn="0" w:lastRow="0" w:noHBand="0" w:noVBand="1" w:val="04A0"/>
      </w:tblPr>
      <w:tblGrid>
        <w:gridCol w:w="4680"/>
        <w:gridCol w:w="4680"/>
      </w:tblGrid>
      <w:tr>
        <w:tc>
          <w:tcPr>
            <w:tcW w:type="dxa" w:w="10282"/>
            <w:gridSpan w:val="2"/>
            <w:shd w:fill="4D4D4F"/>
            <w:tcMar>
              <w:top w:w="90" w:type="dxa"/>
              <w:start w:w="140" w:type="dxa"/>
              <w:bottom w:w="90" w:type="dxa"/>
              <w:end w:w="140" w:type="dxa"/>
            </w:tcMar>
            <w:tcBorders>
              <w:top w:val="single" w:sz="8" w:color="CE181E"/>
              <w:left w:val="nil"/>
              <w:bottom w:val="nil"/>
              <w:right w:val="nil"/>
            </w:tcBorders>
          </w:tcPr>
          <w:p>
            <w:pPr>
              <w:spacing w:after="60"/>
            </w:pPr>
            <w:r/>
            <w:r>
              <w:rPr>
                <w:rFonts w:ascii="Aptos" w:hAnsi="Aptos" w:eastAsia="Aptos"/>
                <w:b/>
                <w:i w:val="0"/>
                <w:color w:val="FFFFFF"/>
                <w:sz w:val="17"/>
              </w:rPr>
              <w:t>WHERE SHURIKEN COULD HELP — LEVERAGE</w:t>
            </w:r>
          </w:p>
          <w:p>
            <w:pPr>
              <w:spacing w:after="0"/>
            </w:pPr>
            <w:r>
              <w:rPr>
                <w:rFonts w:ascii="Aptos" w:hAnsi="Aptos" w:eastAsia="Aptos"/>
                <w:b w:val="0"/>
                <w:i w:val="0"/>
                <w:color w:val="FFFFFF"/>
                <w:sz w:val="16"/>
              </w:rPr>
              <w:t>Tick up to two areas you want to explore in your complimentary Discovery Meeting.</w:t>
            </w:r>
          </w:p>
        </w:tc>
      </w:tr>
      <w:tr>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Process mapping &amp; documentation</w:t>
            </w:r>
          </w:p>
        </w:tc>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Practice management systems</w:t>
            </w:r>
          </w:p>
        </w:tc>
      </w:tr>
      <w:tr>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Delegation &amp; capability plan</w:t>
            </w:r>
          </w:p>
        </w:tc>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Onboarding &amp; role design</w:t>
            </w:r>
          </w:p>
        </w:tc>
      </w:tr>
      <w:tr>
        <w:tc>
          <w:tcPr>
            <w:tcW w:type="dxa" w:w="10282"/>
            <w:gridSpan w:val="2"/>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Multi-site operating model</w:t>
            </w:r>
          </w:p>
        </w:tc>
      </w:tr>
      <w:tr>
        <w:tc>
          <w:tcPr>
            <w:tcW w:type="dxa" w:w="10282"/>
            <w:gridSpan w:val="2"/>
            <w:shd w:fill="FFFFFF"/>
            <w:tcMar>
              <w:top w:w="75" w:type="dxa"/>
              <w:start w:w="110" w:type="dxa"/>
              <w:bottom w:w="85" w:type="dxa"/>
              <w:end w:w="110" w:type="dxa"/>
            </w:tcMar>
            <w:tcBorders>
              <w:top w:val="single" w:sz="5" w:color="CE181E"/>
              <w:left w:val="single" w:sz="3" w:color="D9D9D9"/>
              <w:bottom w:val="single" w:sz="3" w:color="D9D9D9"/>
              <w:right w:val="single" w:sz="3" w:color="D9D9D9"/>
            </w:tcBorders>
          </w:tcPr>
          <w:p>
            <w:pPr>
              <w:spacing w:after="60"/>
            </w:pPr>
            <w:r/>
            <w:r>
              <w:rPr>
                <w:rFonts w:ascii="Aptos" w:hAnsi="Aptos" w:eastAsia="Aptos"/>
                <w:b/>
                <w:i w:val="0"/>
                <w:color w:val="A70E13"/>
                <w:sz w:val="16"/>
              </w:rPr>
              <w:t>YOUR MEETING NOTE — What is the one commercial question you want discussed?</w:t>
            </w:r>
          </w:p>
          <w:p>
            <w:pPr>
              <w:spacing w:after="0"/>
            </w:pPr>
            <w:r>
              <w:rPr>
                <w:rFonts w:ascii="Aptos" w:hAnsi="Aptos" w:eastAsia="Aptos"/>
                <w:b w:val="0"/>
                <w:i w:val="0"/>
                <w:color w:val="636466"/>
                <w:sz w:val="17"/>
              </w:rPr>
              <w:t>________________________________________________________________________________</w:t>
            </w:r>
          </w:p>
        </w:tc>
      </w:tr>
    </w:tbl>
    <w:tbl>
      <w:tblPr>
        <w:tblW w:type="auto" w:w="0"/>
        <w:jc w:val="center"/>
        <w:tblLayout w:type="fixed"/>
        <w:tblLook w:firstColumn="1" w:firstRow="1" w:lastColumn="0" w:lastRow="0" w:noHBand="0" w:noVBand="1" w:val="04A0"/>
      </w:tblPr>
      <w:tblGrid>
        <w:gridCol w:w="9360"/>
      </w:tblGrid>
      <w:tr>
        <w:tc>
          <w:tcPr>
            <w:tcW w:type="dxa" w:w="10282"/>
            <w:shd w:fill="F7F7F7"/>
            <w:tcMar>
              <w:top w:w="100" w:type="dxa"/>
              <w:start w:w="160" w:type="dxa"/>
              <w:bottom w:w="100" w:type="dxa"/>
              <w:end w:w="160" w:type="dxa"/>
            </w:tcMar>
            <w:tcBorders>
              <w:top w:val="nil"/>
              <w:left w:val="single" w:sz="18" w:color="CE181E"/>
              <w:bottom w:val="nil"/>
              <w:right w:val="nil"/>
            </w:tcBorders>
          </w:tcPr>
          <w:p>
            <w:pPr>
              <w:spacing w:after="80"/>
            </w:pPr>
            <w:r/>
            <w:r>
              <w:rPr>
                <w:rFonts w:ascii="Aptos" w:hAnsi="Aptos" w:eastAsia="Aptos"/>
                <w:b w:val="0"/>
                <w:i/>
                <w:color w:val="4D4D4F"/>
                <w:sz w:val="18"/>
              </w:rPr>
              <w:t>“Our doubts are traitors, and make us lose the good we oft might win, by fearing to attempt.”</w:t>
            </w:r>
          </w:p>
          <w:p>
            <w:pPr>
              <w:spacing w:after="0"/>
            </w:pPr>
            <w:r>
              <w:rPr>
                <w:rFonts w:ascii="Aptos" w:hAnsi="Aptos" w:eastAsia="Aptos"/>
                <w:b/>
                <w:i w:val="0"/>
                <w:color w:val="A70E13"/>
                <w:sz w:val="16"/>
              </w:rPr>
              <w:t>— William Shakespeare, Measure for Measure</w:t>
            </w:r>
          </w:p>
        </w:tc>
      </w:tr>
    </w:tbl>
    <w:p>
      <w:r>
        <w:br w:type="page"/>
      </w:r>
    </w:p>
    <w:p>
      <w:pPr>
        <w:spacing w:after="240"/>
      </w:pPr>
      <w:r>
        <w:rPr>
          <w:sz w:val="6"/>
        </w:rPr>
        <w:t xml:space="preserve"> </w:t>
      </w:r>
    </w:p>
    <w:tbl>
      <w:tblPr>
        <w:tblW w:type="auto" w:w="0"/>
        <w:jc w:val="center"/>
        <w:tblLayout w:type="fixed"/>
        <w:tblLook w:firstColumn="1" w:firstRow="1" w:lastColumn="0" w:lastRow="0" w:noHBand="0" w:noVBand="1" w:val="04A0"/>
      </w:tblPr>
      <w:tblGrid>
        <w:gridCol w:w="9360"/>
      </w:tblGrid>
      <w:tr>
        <w:tc>
          <w:tcPr>
            <w:tcW w:type="dxa" w:w="10282"/>
            <w:shd w:fill="CE181E"/>
            <w:tcMar>
              <w:top w:w="170" w:type="dxa"/>
              <w:start w:w="250" w:type="dxa"/>
              <w:bottom w:w="170" w:type="dxa"/>
              <w:end w:w="250" w:type="dxa"/>
            </w:tcMar>
            <w:tcBorders>
              <w:top w:val="nil"/>
              <w:left w:val="nil"/>
              <w:bottom w:val="nil"/>
              <w:right w:val="nil"/>
            </w:tcBorders>
          </w:tcPr>
          <w:p>
            <w:pPr>
              <w:spacing w:after="0"/>
              <w:jc w:val="center"/>
            </w:pPr>
            <w:r/>
            <w:r>
              <w:rPr>
                <w:rFonts w:ascii="Aptos" w:hAnsi="Aptos" w:eastAsia="Aptos"/>
                <w:b/>
                <w:i w:val="0"/>
                <w:color w:val="FFFFFF"/>
                <w:sz w:val="16"/>
              </w:rPr>
              <w:t>V.A.L.U.E. DIMENSION U</w:t>
            </w:r>
          </w:p>
          <w:p>
            <w:pPr>
              <w:spacing w:after="100"/>
              <w:jc w:val="center"/>
            </w:pPr>
            <w:r>
              <w:rPr>
                <w:rFonts w:ascii="Aptos Display" w:hAnsi="Aptos Display" w:eastAsia="Aptos Display"/>
                <w:b/>
                <w:i w:val="0"/>
                <w:color w:val="FFFFFF"/>
                <w:sz w:val="40"/>
              </w:rPr>
              <w:t>Utilisation</w:t>
            </w:r>
          </w:p>
          <w:p>
            <w:pPr>
              <w:jc w:val="center"/>
            </w:pPr>
            <w:r>
              <w:rPr>
                <w:rFonts w:ascii="Aptos" w:hAnsi="Aptos" w:eastAsia="Aptos"/>
                <w:b w:val="0"/>
                <w:i w:val="0"/>
                <w:color w:val="FFFFFF"/>
                <w:sz w:val="21"/>
              </w:rPr>
              <w:t>Is clinical capacity being converted into the right revenue?</w:t>
            </w:r>
          </w:p>
        </w:tc>
      </w:tr>
    </w:tbl>
    <w:p>
      <w:pPr>
        <w:spacing w:after="120"/>
      </w:pPr>
    </w:p>
    <w:tbl>
      <w:tblPr>
        <w:tblStyle w:val="TableGrid"/>
        <w:tblW w:type="auto" w:w="0"/>
        <w:jc w:val="center"/>
        <w:tblLayout w:type="fixed"/>
        <w:tblLook w:firstColumn="1" w:firstRow="1" w:lastColumn="0" w:lastRow="0" w:noHBand="0" w:noVBand="1" w:val="04A0"/>
      </w:tblPr>
      <w:tblGrid>
        <w:gridCol w:w="5616"/>
        <w:gridCol w:w="1656"/>
        <w:gridCol w:w="1800"/>
      </w:tblGrid>
      <w:tr>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DIAGNOSTIC QUESTION</w:t>
            </w:r>
          </w:p>
        </w:tc>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SCORE 1–5</w:t>
            </w:r>
          </w:p>
        </w:tc>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EVIDENCE / FIRST MOVE</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 you know delivered utilisation by clinician and location — not just booked appointments?</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Are cancellations, no-shows, gaps and late changes measured and actively managed?</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 diaries have practical rules for rebooking, waitlists, confirmations and recovery of cancelled appointments?</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Can you distinguish capacity constraints from pricing, conversion, recruitment or referral issues?</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 clinical and administrative teams understand the commercial effect of a 5% utilisation change?</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bl>
    <w:p>
      <w:pPr>
        <w:spacing w:before="160" w:after="240"/>
      </w:pPr>
      <w:r>
        <w:rPr>
          <w:rFonts w:ascii="Aptos" w:hAnsi="Aptos" w:eastAsia="Aptos"/>
          <w:b/>
          <w:i w:val="0"/>
          <w:color w:val="A70E13"/>
          <w:sz w:val="20"/>
        </w:rPr>
        <w:t xml:space="preserve">First move: </w:t>
      </w:r>
      <w:r>
        <w:rPr>
          <w:rFonts w:ascii="Aptos" w:hAnsi="Aptos" w:eastAsia="Aptos"/>
          <w:b w:val="0"/>
          <w:i w:val="0"/>
          <w:color w:val="4D4D4F"/>
          <w:sz w:val="20"/>
        </w:rPr>
        <w:t>Measure delivered utilisation weekly. Pick one leakage source — cancellations, gaps or rebooking — and run a 30-day fix.</w:t>
      </w:r>
    </w:p>
    <w:p>
      <w:pPr>
        <w:spacing w:before="160" w:after="0"/>
      </w:pPr>
      <w:r>
        <w:rPr>
          <w:rFonts w:ascii="Aptos" w:hAnsi="Aptos" w:eastAsia="Aptos"/>
          <w:b/>
          <w:i w:val="0"/>
          <w:color w:val="242426"/>
          <w:sz w:val="22"/>
        </w:rPr>
        <w:t xml:space="preserve">Score this dimension: </w:t>
      </w:r>
      <w:r>
        <w:rPr>
          <w:rFonts w:ascii="Aptos" w:hAnsi="Aptos" w:eastAsia="Aptos"/>
          <w:b/>
          <w:i w:val="0"/>
          <w:color w:val="CE181E"/>
          <w:sz w:val="22"/>
        </w:rPr>
        <w:t>____ / 25</w:t>
      </w:r>
    </w:p>
    <w:tbl>
      <w:tblPr>
        <w:tblW w:type="auto" w:w="0"/>
        <w:jc w:val="center"/>
        <w:tblLayout w:type="fixed"/>
        <w:tblLook w:firstColumn="1" w:firstRow="1" w:lastColumn="0" w:lastRow="0" w:noHBand="0" w:noVBand="1" w:val="04A0"/>
      </w:tblPr>
      <w:tblGrid>
        <w:gridCol w:w="4680"/>
        <w:gridCol w:w="4680"/>
      </w:tblGrid>
      <w:tr>
        <w:tc>
          <w:tcPr>
            <w:tcW w:type="dxa" w:w="10282"/>
            <w:gridSpan w:val="2"/>
            <w:shd w:fill="4D4D4F"/>
            <w:tcMar>
              <w:top w:w="90" w:type="dxa"/>
              <w:start w:w="140" w:type="dxa"/>
              <w:bottom w:w="90" w:type="dxa"/>
              <w:end w:w="140" w:type="dxa"/>
            </w:tcMar>
            <w:tcBorders>
              <w:top w:val="single" w:sz="8" w:color="CE181E"/>
              <w:left w:val="nil"/>
              <w:bottom w:val="nil"/>
              <w:right w:val="nil"/>
            </w:tcBorders>
          </w:tcPr>
          <w:p>
            <w:pPr>
              <w:spacing w:after="60"/>
            </w:pPr>
            <w:r/>
            <w:r>
              <w:rPr>
                <w:rFonts w:ascii="Aptos" w:hAnsi="Aptos" w:eastAsia="Aptos"/>
                <w:b/>
                <w:i w:val="0"/>
                <w:color w:val="FFFFFF"/>
                <w:sz w:val="17"/>
              </w:rPr>
              <w:t>WHERE SHURIKEN COULD HELP — UTILISATION</w:t>
            </w:r>
          </w:p>
          <w:p>
            <w:pPr>
              <w:spacing w:after="0"/>
            </w:pPr>
            <w:r>
              <w:rPr>
                <w:rFonts w:ascii="Aptos" w:hAnsi="Aptos" w:eastAsia="Aptos"/>
                <w:b w:val="0"/>
                <w:i w:val="0"/>
                <w:color w:val="FFFFFF"/>
                <w:sz w:val="16"/>
              </w:rPr>
              <w:t>Tick up to two areas you want to explore in your complimentary Discovery Meeting.</w:t>
            </w:r>
          </w:p>
        </w:tc>
      </w:tr>
      <w:tr>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Delivered utilisation dashboard</w:t>
            </w:r>
          </w:p>
        </w:tc>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Diary leakage &amp; cancellation review</w:t>
            </w:r>
          </w:p>
        </w:tc>
      </w:tr>
      <w:tr>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Rebooking &amp; waitlist process</w:t>
            </w:r>
          </w:p>
        </w:tc>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Pricing &amp; capacity analysis</w:t>
            </w:r>
          </w:p>
        </w:tc>
      </w:tr>
      <w:tr>
        <w:tc>
          <w:tcPr>
            <w:tcW w:type="dxa" w:w="10282"/>
            <w:gridSpan w:val="2"/>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Clinician productivity review</w:t>
            </w:r>
          </w:p>
        </w:tc>
      </w:tr>
      <w:tr>
        <w:tc>
          <w:tcPr>
            <w:tcW w:type="dxa" w:w="10282"/>
            <w:gridSpan w:val="2"/>
            <w:shd w:fill="FFFFFF"/>
            <w:tcMar>
              <w:top w:w="75" w:type="dxa"/>
              <w:start w:w="110" w:type="dxa"/>
              <w:bottom w:w="85" w:type="dxa"/>
              <w:end w:w="110" w:type="dxa"/>
            </w:tcMar>
            <w:tcBorders>
              <w:top w:val="single" w:sz="5" w:color="CE181E"/>
              <w:left w:val="single" w:sz="3" w:color="D9D9D9"/>
              <w:bottom w:val="single" w:sz="3" w:color="D9D9D9"/>
              <w:right w:val="single" w:sz="3" w:color="D9D9D9"/>
            </w:tcBorders>
          </w:tcPr>
          <w:p>
            <w:pPr>
              <w:spacing w:after="60"/>
            </w:pPr>
            <w:r/>
            <w:r>
              <w:rPr>
                <w:rFonts w:ascii="Aptos" w:hAnsi="Aptos" w:eastAsia="Aptos"/>
                <w:b/>
                <w:i w:val="0"/>
                <w:color w:val="A70E13"/>
                <w:sz w:val="16"/>
              </w:rPr>
              <w:t>YOUR MEETING NOTE — What is the one commercial question you want discussed?</w:t>
            </w:r>
          </w:p>
          <w:p>
            <w:pPr>
              <w:spacing w:after="0"/>
            </w:pPr>
            <w:r>
              <w:rPr>
                <w:rFonts w:ascii="Aptos" w:hAnsi="Aptos" w:eastAsia="Aptos"/>
                <w:b w:val="0"/>
                <w:i w:val="0"/>
                <w:color w:val="636466"/>
                <w:sz w:val="17"/>
              </w:rPr>
              <w:t>________________________________________________________________________________</w:t>
            </w:r>
          </w:p>
        </w:tc>
      </w:tr>
    </w:tbl>
    <w:tbl>
      <w:tblPr>
        <w:tblW w:type="auto" w:w="0"/>
        <w:jc w:val="center"/>
        <w:tblLayout w:type="fixed"/>
        <w:tblLook w:firstColumn="1" w:firstRow="1" w:lastColumn="0" w:lastRow="0" w:noHBand="0" w:noVBand="1" w:val="04A0"/>
      </w:tblPr>
      <w:tblGrid>
        <w:gridCol w:w="9360"/>
      </w:tblGrid>
      <w:tr>
        <w:tc>
          <w:tcPr>
            <w:tcW w:type="dxa" w:w="10282"/>
            <w:shd w:fill="F7F7F7"/>
            <w:tcMar>
              <w:top w:w="100" w:type="dxa"/>
              <w:start w:w="160" w:type="dxa"/>
              <w:bottom w:w="100" w:type="dxa"/>
              <w:end w:w="160" w:type="dxa"/>
            </w:tcMar>
            <w:tcBorders>
              <w:top w:val="nil"/>
              <w:left w:val="single" w:sz="18" w:color="CE181E"/>
              <w:bottom w:val="nil"/>
              <w:right w:val="nil"/>
            </w:tcBorders>
          </w:tcPr>
          <w:p>
            <w:pPr>
              <w:spacing w:after="80"/>
            </w:pPr>
            <w:r/>
            <w:r>
              <w:rPr>
                <w:rFonts w:ascii="Aptos" w:hAnsi="Aptos" w:eastAsia="Aptos"/>
                <w:b w:val="0"/>
                <w:i/>
                <w:color w:val="4D4D4F"/>
                <w:sz w:val="18"/>
              </w:rPr>
              <w:t>“What is an obstacle on the road helps us on this road.”</w:t>
            </w:r>
          </w:p>
          <w:p>
            <w:pPr>
              <w:spacing w:after="0"/>
            </w:pPr>
            <w:r>
              <w:rPr>
                <w:rFonts w:ascii="Aptos" w:hAnsi="Aptos" w:eastAsia="Aptos"/>
                <w:b/>
                <w:i w:val="0"/>
                <w:color w:val="A70E13"/>
                <w:sz w:val="16"/>
              </w:rPr>
              <w:t>— Marcus Aurelius, Meditations 5.20</w:t>
            </w:r>
          </w:p>
        </w:tc>
      </w:tr>
    </w:tbl>
    <w:p>
      <w:r>
        <w:br w:type="page"/>
      </w:r>
    </w:p>
    <w:p>
      <w:pPr>
        <w:spacing w:after="240"/>
      </w:pPr>
      <w:r>
        <w:rPr>
          <w:sz w:val="6"/>
        </w:rPr>
        <w:t xml:space="preserve"> </w:t>
      </w:r>
    </w:p>
    <w:tbl>
      <w:tblPr>
        <w:tblW w:type="auto" w:w="0"/>
        <w:jc w:val="center"/>
        <w:tblLayout w:type="fixed"/>
        <w:tblLook w:firstColumn="1" w:firstRow="1" w:lastColumn="0" w:lastRow="0" w:noHBand="0" w:noVBand="1" w:val="04A0"/>
      </w:tblPr>
      <w:tblGrid>
        <w:gridCol w:w="9360"/>
      </w:tblGrid>
      <w:tr>
        <w:tc>
          <w:tcPr>
            <w:tcW w:type="dxa" w:w="10282"/>
            <w:shd w:fill="CE181E"/>
            <w:tcMar>
              <w:top w:w="170" w:type="dxa"/>
              <w:start w:w="250" w:type="dxa"/>
              <w:bottom w:w="170" w:type="dxa"/>
              <w:end w:w="250" w:type="dxa"/>
            </w:tcMar>
            <w:tcBorders>
              <w:top w:val="nil"/>
              <w:left w:val="nil"/>
              <w:bottom w:val="nil"/>
              <w:right w:val="nil"/>
            </w:tcBorders>
          </w:tcPr>
          <w:p>
            <w:pPr>
              <w:spacing w:after="0"/>
              <w:jc w:val="center"/>
            </w:pPr>
            <w:r/>
            <w:r>
              <w:rPr>
                <w:rFonts w:ascii="Aptos" w:hAnsi="Aptos" w:eastAsia="Aptos"/>
                <w:b/>
                <w:i w:val="0"/>
                <w:color w:val="FFFFFF"/>
                <w:sz w:val="16"/>
              </w:rPr>
              <w:t>V.A.L.U.E. DIMENSION E</w:t>
            </w:r>
          </w:p>
          <w:p>
            <w:pPr>
              <w:spacing w:after="100"/>
              <w:jc w:val="center"/>
            </w:pPr>
            <w:r>
              <w:rPr>
                <w:rFonts w:ascii="Aptos Display" w:hAnsi="Aptos Display" w:eastAsia="Aptos Display"/>
                <w:b/>
                <w:i w:val="0"/>
                <w:color w:val="FFFFFF"/>
                <w:sz w:val="40"/>
              </w:rPr>
              <w:t>Enterprise Value</w:t>
            </w:r>
          </w:p>
          <w:p>
            <w:pPr>
              <w:jc w:val="center"/>
            </w:pPr>
            <w:r>
              <w:rPr>
                <w:rFonts w:ascii="Aptos" w:hAnsi="Aptos" w:eastAsia="Aptos"/>
                <w:b w:val="0"/>
                <w:i w:val="0"/>
                <w:color w:val="FFFFFF"/>
                <w:sz w:val="21"/>
              </w:rPr>
              <w:t>Is the practice becoming more transferable and valuable?</w:t>
            </w:r>
          </w:p>
        </w:tc>
      </w:tr>
    </w:tbl>
    <w:p>
      <w:pPr>
        <w:spacing w:after="120"/>
      </w:pPr>
    </w:p>
    <w:tbl>
      <w:tblPr>
        <w:tblStyle w:val="TableGrid"/>
        <w:tblW w:type="auto" w:w="0"/>
        <w:jc w:val="center"/>
        <w:tblLayout w:type="fixed"/>
        <w:tblLook w:firstColumn="1" w:firstRow="1" w:lastColumn="0" w:lastRow="0" w:noHBand="0" w:noVBand="1" w:val="04A0"/>
      </w:tblPr>
      <w:tblGrid>
        <w:gridCol w:w="5616"/>
        <w:gridCol w:w="1656"/>
        <w:gridCol w:w="1800"/>
      </w:tblGrid>
      <w:tr>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DIAGNOSTIC QUESTION</w:t>
            </w:r>
          </w:p>
        </w:tc>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SCORE 1–5</w:t>
            </w:r>
          </w:p>
        </w:tc>
        <w:tc>
          <w:tcPr>
            <w:tcW w:type="dxa" w:w="3427"/>
            <w:shd w:fill="4D4D4F"/>
            <w:tcMar>
              <w:top w:w="90" w:type="dxa"/>
              <w:start w:w="90" w:type="dxa"/>
              <w:bottom w:w="90" w:type="dxa"/>
              <w:end w:w="90" w:type="dxa"/>
            </w:tcMar>
          </w:tcPr>
          <w:p>
            <w:pPr>
              <w:spacing w:after="0"/>
            </w:pPr>
            <w:r/>
            <w:r>
              <w:rPr>
                <w:rFonts w:ascii="Aptos" w:hAnsi="Aptos" w:eastAsia="Aptos"/>
                <w:b/>
                <w:i w:val="0"/>
                <w:color w:val="FFFFFF"/>
                <w:sz w:val="16"/>
              </w:rPr>
              <w:t>EVIDENCE / FIRST MOVE</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Is revenue diversified across clinicians, referrers, locations and funding sources?</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Does the practice have documented systems, stable leadership and credible financial reporting?</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Would a buyer see repeatable earnings rather than an owner’s personal workload?</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Are contracts, leases, registrations, insurances and material risks organised and reviewed?</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r>
        <w:tc>
          <w:tcPr>
            <w:tcW w:type="dxa" w:w="5616"/>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4D4D4F"/>
                <w:sz w:val="18"/>
              </w:rPr>
              <w:t>Do you have a clear view of the practice’s value drivers before any sale or succession conversation?</w:t>
            </w:r>
          </w:p>
        </w:tc>
        <w:tc>
          <w:tcPr>
            <w:tcW w:type="dxa" w:w="1656"/>
            <w:tcMar>
              <w:top w:w="110" w:type="dxa"/>
              <w:start w:w="90" w:type="dxa"/>
              <w:bottom w:w="110" w:type="dxa"/>
              <w:end w:w="90" w:type="dxa"/>
            </w:tcMar>
            <w:vAlign w:val="center"/>
            <w:tcBorders>
              <w:bottom w:val="single" w:sz="4" w:color="D9D9D9"/>
            </w:tcBorders>
          </w:tcPr>
          <w:p>
            <w:pPr>
              <w:spacing w:after="0"/>
              <w:jc w:val="center"/>
            </w:pPr>
            <w:r/>
            <w:r>
              <w:rPr>
                <w:rFonts w:ascii="Aptos" w:hAnsi="Aptos" w:eastAsia="Aptos"/>
                <w:b w:val="0"/>
                <w:i w:val="0"/>
                <w:color w:val="636466"/>
                <w:sz w:val="16"/>
              </w:rPr>
              <w:t>□ 1  □ 2</w:t>
              <w:br/>
              <w:t>□ 3  □ 4  □ 5</w:t>
            </w:r>
          </w:p>
        </w:tc>
        <w:tc>
          <w:tcPr>
            <w:tcW w:type="dxa" w:w="1800"/>
            <w:tcMar>
              <w:top w:w="110" w:type="dxa"/>
              <w:start w:w="90" w:type="dxa"/>
              <w:bottom w:w="110" w:type="dxa"/>
              <w:end w:w="90" w:type="dxa"/>
            </w:tcMar>
            <w:vAlign w:val="center"/>
            <w:tcBorders>
              <w:bottom w:val="single" w:sz="4" w:color="D9D9D9"/>
            </w:tcBorders>
          </w:tcPr>
          <w:p>
            <w:pPr>
              <w:spacing w:after="0"/>
            </w:pPr>
            <w:r/>
            <w:r>
              <w:rPr>
                <w:rFonts w:ascii="Aptos" w:hAnsi="Aptos" w:eastAsia="Aptos"/>
                <w:b w:val="0"/>
                <w:i w:val="0"/>
                <w:color w:val="636466"/>
                <w:sz w:val="16"/>
              </w:rPr>
              <w:t>________________</w:t>
              <w:br/>
              <w:t>________________</w:t>
            </w:r>
          </w:p>
        </w:tc>
      </w:tr>
    </w:tbl>
    <w:p>
      <w:pPr>
        <w:spacing w:before="160" w:after="240"/>
      </w:pPr>
      <w:r>
        <w:rPr>
          <w:rFonts w:ascii="Aptos" w:hAnsi="Aptos" w:eastAsia="Aptos"/>
          <w:b/>
          <w:i w:val="0"/>
          <w:color w:val="A70E13"/>
          <w:sz w:val="20"/>
        </w:rPr>
        <w:t xml:space="preserve">First move: </w:t>
      </w:r>
      <w:r>
        <w:rPr>
          <w:rFonts w:ascii="Aptos" w:hAnsi="Aptos" w:eastAsia="Aptos"/>
          <w:b w:val="0"/>
          <w:i w:val="0"/>
          <w:color w:val="4D4D4F"/>
          <w:sz w:val="20"/>
        </w:rPr>
        <w:t>Build a value-driver register: earnings quality, client concentration, leadership depth, systems, risk and growth evidence.</w:t>
      </w:r>
    </w:p>
    <w:p>
      <w:pPr>
        <w:spacing w:before="160" w:after="0"/>
      </w:pPr>
      <w:r>
        <w:rPr>
          <w:rFonts w:ascii="Aptos" w:hAnsi="Aptos" w:eastAsia="Aptos"/>
          <w:b/>
          <w:i w:val="0"/>
          <w:color w:val="242426"/>
          <w:sz w:val="22"/>
        </w:rPr>
        <w:t xml:space="preserve">Score this dimension: </w:t>
      </w:r>
      <w:r>
        <w:rPr>
          <w:rFonts w:ascii="Aptos" w:hAnsi="Aptos" w:eastAsia="Aptos"/>
          <w:b/>
          <w:i w:val="0"/>
          <w:color w:val="CE181E"/>
          <w:sz w:val="22"/>
        </w:rPr>
        <w:t>____ / 25</w:t>
      </w:r>
    </w:p>
    <w:tbl>
      <w:tblPr>
        <w:tblW w:type="auto" w:w="0"/>
        <w:jc w:val="center"/>
        <w:tblLayout w:type="fixed"/>
        <w:tblLook w:firstColumn="1" w:firstRow="1" w:lastColumn="0" w:lastRow="0" w:noHBand="0" w:noVBand="1" w:val="04A0"/>
      </w:tblPr>
      <w:tblGrid>
        <w:gridCol w:w="4680"/>
        <w:gridCol w:w="4680"/>
      </w:tblGrid>
      <w:tr>
        <w:tc>
          <w:tcPr>
            <w:tcW w:type="dxa" w:w="10282"/>
            <w:gridSpan w:val="2"/>
            <w:shd w:fill="4D4D4F"/>
            <w:tcMar>
              <w:top w:w="90" w:type="dxa"/>
              <w:start w:w="140" w:type="dxa"/>
              <w:bottom w:w="90" w:type="dxa"/>
              <w:end w:w="140" w:type="dxa"/>
            </w:tcMar>
            <w:tcBorders>
              <w:top w:val="single" w:sz="8" w:color="CE181E"/>
              <w:left w:val="nil"/>
              <w:bottom w:val="nil"/>
              <w:right w:val="nil"/>
            </w:tcBorders>
          </w:tcPr>
          <w:p>
            <w:pPr>
              <w:spacing w:after="60"/>
            </w:pPr>
            <w:r/>
            <w:r>
              <w:rPr>
                <w:rFonts w:ascii="Aptos" w:hAnsi="Aptos" w:eastAsia="Aptos"/>
                <w:b/>
                <w:i w:val="0"/>
                <w:color w:val="FFFFFF"/>
                <w:sz w:val="17"/>
              </w:rPr>
              <w:t>WHERE SHURIKEN COULD HELP — ENTERPRISE VALUE</w:t>
            </w:r>
          </w:p>
          <w:p>
            <w:pPr>
              <w:spacing w:after="0"/>
            </w:pPr>
            <w:r>
              <w:rPr>
                <w:rFonts w:ascii="Aptos" w:hAnsi="Aptos" w:eastAsia="Aptos"/>
                <w:b w:val="0"/>
                <w:i w:val="0"/>
                <w:color w:val="FFFFFF"/>
                <w:sz w:val="16"/>
              </w:rPr>
              <w:t>Tick up to two areas you want to explore in your complimentary Discovery Meeting.</w:t>
            </w:r>
          </w:p>
        </w:tc>
      </w:tr>
      <w:tr>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Practice valuation &amp; value drivers</w:t>
            </w:r>
          </w:p>
        </w:tc>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Exit or succession roadmap</w:t>
            </w:r>
          </w:p>
        </w:tc>
      </w:tr>
      <w:tr>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Risk, structure &amp; tax review</w:t>
            </w:r>
          </w:p>
        </w:tc>
        <w:tc>
          <w:tcPr>
            <w:tcW w:type="dxa" w:w="5141"/>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Buyer-ready systems &amp; evidence</w:t>
            </w:r>
          </w:p>
        </w:tc>
      </w:tr>
      <w:tr>
        <w:tc>
          <w:tcPr>
            <w:tcW w:type="dxa" w:w="10282"/>
            <w:gridSpan w:val="2"/>
            <w:shd w:fill="F7F7F7"/>
            <w:tcMar>
              <w:top w:w="75" w:type="dxa"/>
              <w:start w:w="110" w:type="dxa"/>
              <w:bottom w:w="75" w:type="dxa"/>
              <w:end w:w="110" w:type="dxa"/>
            </w:tcMar>
            <w:tcBorders>
              <w:top w:val="single" w:sz="3" w:color="D9D9D9"/>
              <w:left w:val="single" w:sz="3" w:color="D9D9D9"/>
              <w:bottom w:val="single" w:sz="3" w:color="D9D9D9"/>
              <w:right w:val="single" w:sz="3" w:color="D9D9D9"/>
            </w:tcBorders>
          </w:tcPr>
          <w:p>
            <w:pPr>
              <w:spacing w:after="0"/>
            </w:pPr>
            <w:r/>
            <w:r>
              <w:rPr>
                <w:rFonts w:ascii="Aptos" w:hAnsi="Aptos" w:eastAsia="Aptos"/>
                <w:b w:val="0"/>
                <w:i w:val="0"/>
                <w:color w:val="4D4D4F"/>
                <w:sz w:val="17"/>
              </w:rPr>
              <w:t>□  Personal wealth &amp; post-exit planning</w:t>
            </w:r>
          </w:p>
        </w:tc>
      </w:tr>
      <w:tr>
        <w:tc>
          <w:tcPr>
            <w:tcW w:type="dxa" w:w="10282"/>
            <w:gridSpan w:val="2"/>
            <w:shd w:fill="FFFFFF"/>
            <w:tcMar>
              <w:top w:w="75" w:type="dxa"/>
              <w:start w:w="110" w:type="dxa"/>
              <w:bottom w:w="85" w:type="dxa"/>
              <w:end w:w="110" w:type="dxa"/>
            </w:tcMar>
            <w:tcBorders>
              <w:top w:val="single" w:sz="5" w:color="CE181E"/>
              <w:left w:val="single" w:sz="3" w:color="D9D9D9"/>
              <w:bottom w:val="single" w:sz="3" w:color="D9D9D9"/>
              <w:right w:val="single" w:sz="3" w:color="D9D9D9"/>
            </w:tcBorders>
          </w:tcPr>
          <w:p>
            <w:pPr>
              <w:spacing w:after="60"/>
            </w:pPr>
            <w:r/>
            <w:r>
              <w:rPr>
                <w:rFonts w:ascii="Aptos" w:hAnsi="Aptos" w:eastAsia="Aptos"/>
                <w:b/>
                <w:i w:val="0"/>
                <w:color w:val="A70E13"/>
                <w:sz w:val="16"/>
              </w:rPr>
              <w:t>YOUR MEETING NOTE — What is the one commercial question you want discussed?</w:t>
            </w:r>
          </w:p>
          <w:p>
            <w:pPr>
              <w:spacing w:after="0"/>
            </w:pPr>
            <w:r>
              <w:rPr>
                <w:rFonts w:ascii="Aptos" w:hAnsi="Aptos" w:eastAsia="Aptos"/>
                <w:b w:val="0"/>
                <w:i w:val="0"/>
                <w:color w:val="636466"/>
                <w:sz w:val="17"/>
              </w:rPr>
              <w:t>________________________________________________________________________________</w:t>
            </w:r>
          </w:p>
        </w:tc>
      </w:tr>
    </w:tbl>
    <w:tbl>
      <w:tblPr>
        <w:tblW w:type="auto" w:w="0"/>
        <w:jc w:val="center"/>
        <w:tblLayout w:type="fixed"/>
        <w:tblLook w:firstColumn="1" w:firstRow="1" w:lastColumn="0" w:lastRow="0" w:noHBand="0" w:noVBand="1" w:val="04A0"/>
      </w:tblPr>
      <w:tblGrid>
        <w:gridCol w:w="9360"/>
      </w:tblGrid>
      <w:tr>
        <w:tc>
          <w:tcPr>
            <w:tcW w:type="dxa" w:w="10282"/>
            <w:shd w:fill="F7F7F7"/>
            <w:tcMar>
              <w:top w:w="100" w:type="dxa"/>
              <w:start w:w="160" w:type="dxa"/>
              <w:bottom w:w="100" w:type="dxa"/>
              <w:end w:w="160" w:type="dxa"/>
            </w:tcMar>
            <w:tcBorders>
              <w:top w:val="nil"/>
              <w:left w:val="single" w:sz="18" w:color="CE181E"/>
              <w:bottom w:val="nil"/>
              <w:right w:val="nil"/>
            </w:tcBorders>
          </w:tcPr>
          <w:p>
            <w:pPr>
              <w:spacing w:after="80"/>
            </w:pPr>
            <w:r/>
            <w:r>
              <w:rPr>
                <w:rFonts w:ascii="Aptos" w:hAnsi="Aptos" w:eastAsia="Aptos"/>
                <w:b w:val="0"/>
                <w:i/>
                <w:color w:val="4D4D4F"/>
                <w:sz w:val="18"/>
              </w:rPr>
              <w:t>“You do not rise to the level of your goals. You fall to the level of your systems.”</w:t>
            </w:r>
          </w:p>
          <w:p>
            <w:pPr>
              <w:spacing w:after="0"/>
            </w:pPr>
            <w:r>
              <w:rPr>
                <w:rFonts w:ascii="Aptos" w:hAnsi="Aptos" w:eastAsia="Aptos"/>
                <w:b/>
                <w:i w:val="0"/>
                <w:color w:val="A70E13"/>
                <w:sz w:val="16"/>
              </w:rPr>
              <w:t>— James Clear</w:t>
            </w:r>
          </w:p>
        </w:tc>
      </w:tr>
    </w:tbl>
    <w:p>
      <w:r>
        <w:br w:type="page"/>
      </w:r>
    </w:p>
    <w:p>
      <w:pPr>
        <w:spacing w:after="240"/>
      </w:pPr>
      <w:r>
        <w:rPr>
          <w:sz w:val="6"/>
        </w:rPr>
        <w:t xml:space="preserve"> </w:t>
      </w:r>
    </w:p>
    <w:p>
      <w:pPr>
        <w:pStyle w:val="Heading1"/>
        <w:spacing w:before="0" w:after="160"/>
      </w:pPr>
      <w:r>
        <w:rPr>
          <w:rFonts w:ascii="Aptos Display" w:hAnsi="Aptos Display"/>
          <w:b/>
          <w:color w:val="242426"/>
          <w:sz w:val="50"/>
        </w:rPr>
        <w:t>The utilisation quick-check</w:t>
      </w:r>
    </w:p>
    <w:p>
      <w:pPr>
        <w:spacing w:after="400"/>
      </w:pPr>
      <w:r>
        <w:rPr>
          <w:rFonts w:ascii="Aptos" w:hAnsi="Aptos" w:eastAsia="Aptos"/>
          <w:b w:val="0"/>
          <w:i w:val="0"/>
          <w:color w:val="636466"/>
          <w:sz w:val="22"/>
        </w:rPr>
        <w:t>A 5% change in delivered utilisation can change the economics of a practice — but only when you can see the leakage and act on it.</w:t>
      </w:r>
    </w:p>
    <w:p>
      <w:pPr>
        <w:spacing w:after="160" w:line="293" w:lineRule="auto"/>
      </w:pPr>
      <w:r>
        <w:rPr>
          <w:rFonts w:ascii="Aptos" w:hAnsi="Aptos" w:eastAsia="Aptos"/>
          <w:b w:val="0"/>
          <w:i w:val="0"/>
          <w:color w:val="4D4D4F"/>
          <w:sz w:val="21"/>
        </w:rPr>
        <w:t>Use a consistent definition. Delivered utilisation is billable clinical hours actually delivered divided by available clinical hours. It is not simply how full the diary looks.</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570"/>
            <w:shd w:fill="4D4D4F"/>
            <w:tcMar>
              <w:top w:w="100" w:type="dxa"/>
              <w:start w:w="130" w:type="dxa"/>
              <w:bottom w:w="100" w:type="dxa"/>
              <w:end w:w="130" w:type="dxa"/>
            </w:tcMar>
          </w:tcPr>
          <w:p>
            <w:pPr>
              <w:spacing w:after="0"/>
            </w:pPr>
            <w:r/>
            <w:r>
              <w:rPr>
                <w:rFonts w:ascii="Aptos" w:hAnsi="Aptos" w:eastAsia="Aptos"/>
                <w:b/>
                <w:i w:val="0"/>
                <w:color w:val="FFFFFF"/>
                <w:sz w:val="16"/>
              </w:rPr>
              <w:t>INPUT</w:t>
            </w:r>
          </w:p>
        </w:tc>
        <w:tc>
          <w:tcPr>
            <w:tcW w:type="dxa" w:w="2570"/>
            <w:shd w:fill="4D4D4F"/>
            <w:tcMar>
              <w:top w:w="100" w:type="dxa"/>
              <w:start w:w="130" w:type="dxa"/>
              <w:bottom w:w="100" w:type="dxa"/>
              <w:end w:w="130" w:type="dxa"/>
            </w:tcMar>
          </w:tcPr>
          <w:p>
            <w:pPr>
              <w:spacing w:after="0"/>
            </w:pPr>
            <w:r/>
            <w:r>
              <w:rPr>
                <w:rFonts w:ascii="Aptos" w:hAnsi="Aptos" w:eastAsia="Aptos"/>
                <w:b/>
                <w:i w:val="0"/>
                <w:color w:val="FFFFFF"/>
                <w:sz w:val="16"/>
              </w:rPr>
              <w:t>YOUR NUMBER</w:t>
            </w:r>
          </w:p>
        </w:tc>
        <w:tc>
          <w:tcPr>
            <w:tcW w:type="dxa" w:w="2570"/>
            <w:shd w:fill="4D4D4F"/>
            <w:tcMar>
              <w:top w:w="100" w:type="dxa"/>
              <w:start w:w="130" w:type="dxa"/>
              <w:bottom w:w="100" w:type="dxa"/>
              <w:end w:w="130" w:type="dxa"/>
            </w:tcMar>
          </w:tcPr>
          <w:p>
            <w:pPr>
              <w:spacing w:after="0"/>
            </w:pPr>
            <w:r/>
            <w:r>
              <w:rPr>
                <w:rFonts w:ascii="Aptos" w:hAnsi="Aptos" w:eastAsia="Aptos"/>
                <w:b/>
                <w:i w:val="0"/>
                <w:color w:val="FFFFFF"/>
                <w:sz w:val="16"/>
              </w:rPr>
              <w:t>CALCULATION</w:t>
            </w:r>
          </w:p>
        </w:tc>
        <w:tc>
          <w:tcPr>
            <w:tcW w:type="dxa" w:w="2570"/>
            <w:shd w:fill="4D4D4F"/>
            <w:tcMar>
              <w:top w:w="100" w:type="dxa"/>
              <w:start w:w="130" w:type="dxa"/>
              <w:bottom w:w="100" w:type="dxa"/>
              <w:end w:w="130" w:type="dxa"/>
            </w:tcMar>
          </w:tcPr>
          <w:p>
            <w:pPr>
              <w:spacing w:after="0"/>
            </w:pPr>
            <w:r/>
            <w:r>
              <w:rPr>
                <w:rFonts w:ascii="Aptos" w:hAnsi="Aptos" w:eastAsia="Aptos"/>
                <w:b/>
                <w:i w:val="0"/>
                <w:color w:val="FFFFFF"/>
                <w:sz w:val="16"/>
              </w:rPr>
              <w:t>WHY IT MATTERS</w:t>
            </w:r>
          </w:p>
        </w:tc>
      </w:tr>
      <w:tr>
        <w:tc>
          <w:tcPr>
            <w:tcW w:type="dxa" w:w="2570"/>
            <w:tcMar>
              <w:top w:w="100" w:type="dxa"/>
              <w:start w:w="130" w:type="dxa"/>
              <w:bottom w:w="100" w:type="dxa"/>
              <w:end w:w="130" w:type="dxa"/>
            </w:tcMar>
          </w:tcPr>
          <w:p>
            <w:pPr>
              <w:spacing w:after="0"/>
            </w:pPr>
            <w:r/>
            <w:r>
              <w:rPr>
                <w:rFonts w:ascii="Aptos" w:hAnsi="Aptos" w:eastAsia="Aptos"/>
                <w:b w:val="0"/>
                <w:i w:val="0"/>
                <w:color w:val="4D4D4F"/>
                <w:sz w:val="18"/>
              </w:rPr>
              <w:t>Available clinical hours / week</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________</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A</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The capacity you are paying for.</w:t>
            </w:r>
          </w:p>
        </w:tc>
      </w:tr>
      <w:tr>
        <w:tc>
          <w:tcPr>
            <w:tcW w:type="dxa" w:w="2570"/>
            <w:tcMar>
              <w:top w:w="100" w:type="dxa"/>
              <w:start w:w="130" w:type="dxa"/>
              <w:bottom w:w="100" w:type="dxa"/>
              <w:end w:w="130" w:type="dxa"/>
            </w:tcMar>
          </w:tcPr>
          <w:p>
            <w:pPr>
              <w:spacing w:after="0"/>
            </w:pPr>
            <w:r/>
            <w:r>
              <w:rPr>
                <w:rFonts w:ascii="Aptos" w:hAnsi="Aptos" w:eastAsia="Aptos"/>
                <w:b w:val="0"/>
                <w:i w:val="0"/>
                <w:color w:val="4D4D4F"/>
                <w:sz w:val="18"/>
              </w:rPr>
              <w:t>Delivered billable hours / week</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________</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B</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The capacity clients actually received.</w:t>
            </w:r>
          </w:p>
        </w:tc>
      </w:tr>
      <w:tr>
        <w:tc>
          <w:tcPr>
            <w:tcW w:type="dxa" w:w="2570"/>
            <w:tcMar>
              <w:top w:w="100" w:type="dxa"/>
              <w:start w:w="130" w:type="dxa"/>
              <w:bottom w:w="100" w:type="dxa"/>
              <w:end w:w="130" w:type="dxa"/>
            </w:tcMar>
          </w:tcPr>
          <w:p>
            <w:pPr>
              <w:spacing w:after="0"/>
            </w:pPr>
            <w:r/>
            <w:r>
              <w:rPr>
                <w:rFonts w:ascii="Aptos" w:hAnsi="Aptos" w:eastAsia="Aptos"/>
                <w:b w:val="0"/>
                <w:i w:val="0"/>
                <w:color w:val="4D4D4F"/>
                <w:sz w:val="18"/>
              </w:rPr>
              <w:t>Delivered utilisation</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________ %</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B ÷ A × 100</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Your clearest operating utilisation measure.</w:t>
            </w:r>
          </w:p>
        </w:tc>
      </w:tr>
      <w:tr>
        <w:tc>
          <w:tcPr>
            <w:tcW w:type="dxa" w:w="2570"/>
            <w:tcMar>
              <w:top w:w="100" w:type="dxa"/>
              <w:start w:w="130" w:type="dxa"/>
              <w:bottom w:w="100" w:type="dxa"/>
              <w:end w:w="130" w:type="dxa"/>
            </w:tcMar>
          </w:tcPr>
          <w:p>
            <w:pPr>
              <w:spacing w:after="0"/>
            </w:pPr>
            <w:r/>
            <w:r>
              <w:rPr>
                <w:rFonts w:ascii="Aptos" w:hAnsi="Aptos" w:eastAsia="Aptos"/>
                <w:b w:val="0"/>
                <w:i w:val="0"/>
                <w:color w:val="4D4D4F"/>
                <w:sz w:val="18"/>
              </w:rPr>
              <w:t>Average net fee / hour</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 ________</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C</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Use net revenue after routine discounts/adjustments.</w:t>
            </w:r>
          </w:p>
        </w:tc>
      </w:tr>
      <w:tr>
        <w:tc>
          <w:tcPr>
            <w:tcW w:type="dxa" w:w="2570"/>
            <w:tcMar>
              <w:top w:w="100" w:type="dxa"/>
              <w:start w:w="130" w:type="dxa"/>
              <w:bottom w:w="100" w:type="dxa"/>
              <w:end w:w="130" w:type="dxa"/>
            </w:tcMar>
          </w:tcPr>
          <w:p>
            <w:pPr>
              <w:spacing w:after="0"/>
            </w:pPr>
            <w:r/>
            <w:r>
              <w:rPr>
                <w:rFonts w:ascii="Aptos" w:hAnsi="Aptos" w:eastAsia="Aptos"/>
                <w:b w:val="0"/>
                <w:i w:val="0"/>
                <w:color w:val="4D4D4F"/>
                <w:sz w:val="18"/>
              </w:rPr>
              <w:t>5% recovered capacity impact</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 ________</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A × 5% × C × 48 weeks</w:t>
            </w:r>
          </w:p>
        </w:tc>
        <w:tc>
          <w:tcPr>
            <w:tcW w:type="dxa" w:w="2570"/>
            <w:tcMar>
              <w:top w:w="100" w:type="dxa"/>
              <w:start w:w="130" w:type="dxa"/>
              <w:bottom w:w="100" w:type="dxa"/>
              <w:end w:w="130" w:type="dxa"/>
            </w:tcMar>
          </w:tcPr>
          <w:p>
            <w:pPr>
              <w:spacing w:after="0"/>
            </w:pPr>
            <w:r/>
            <w:r>
              <w:rPr>
                <w:rFonts w:ascii="Aptos" w:hAnsi="Aptos" w:eastAsia="Aptos"/>
                <w:b w:val="0"/>
                <w:i w:val="0"/>
                <w:color w:val="4D4D4F"/>
                <w:sz w:val="18"/>
              </w:rPr>
              <w:t>Indicative annual revenue opportunity before costs.</w:t>
            </w:r>
          </w:p>
        </w:tc>
      </w:tr>
    </w:tbl>
    <w:p>
      <w:pPr>
        <w:spacing w:after="240" w:line="293" w:lineRule="auto"/>
      </w:pPr>
      <w:r>
        <w:rPr>
          <w:rFonts w:ascii="Aptos" w:hAnsi="Aptos" w:eastAsia="Aptos"/>
          <w:b w:val="0"/>
          <w:i/>
          <w:color w:val="4D4D4F"/>
          <w:sz w:val="21"/>
        </w:rPr>
        <w:t>Commercial note: utilisation is not a target to drive at all costs. Quality of care, clinical judgement and team sustainability come first. The point is to see and remove avoidable leakage, not to push clinicians beyond sensible capacity.</w:t>
      </w:r>
    </w:p>
    <w:tbl>
      <w:tblPr>
        <w:tblW w:type="auto" w:w="0"/>
        <w:jc w:val="center"/>
        <w:tblLayout w:type="fixed"/>
        <w:tblLook w:firstColumn="1" w:firstRow="1" w:lastColumn="0" w:lastRow="0" w:noHBand="0" w:noVBand="1" w:val="04A0"/>
      </w:tblPr>
      <w:tblGrid>
        <w:gridCol w:w="9360"/>
      </w:tblGrid>
      <w:tr>
        <w:tc>
          <w:tcPr>
            <w:tcW w:type="dxa" w:w="10282"/>
            <w:shd w:fill="F7F7F7"/>
            <w:tcMar>
              <w:top w:w="100" w:type="dxa"/>
              <w:start w:w="160" w:type="dxa"/>
              <w:bottom w:w="100" w:type="dxa"/>
              <w:end w:w="160" w:type="dxa"/>
            </w:tcMar>
            <w:tcBorders>
              <w:top w:val="nil"/>
              <w:left w:val="single" w:sz="18" w:color="CE181E"/>
              <w:bottom w:val="nil"/>
              <w:right w:val="nil"/>
            </w:tcBorders>
          </w:tcPr>
          <w:p>
            <w:pPr>
              <w:spacing w:after="80"/>
            </w:pPr>
            <w:r/>
            <w:r>
              <w:rPr>
                <w:rFonts w:ascii="Aptos" w:hAnsi="Aptos" w:eastAsia="Aptos"/>
                <w:b w:val="0"/>
                <w:i/>
                <w:color w:val="4D4D4F"/>
                <w:sz w:val="18"/>
              </w:rPr>
              <w:t>“Research your own experience. Absorb what is useful, reject what is useless, add what is essentially your own.”</w:t>
            </w:r>
          </w:p>
          <w:p>
            <w:pPr>
              <w:spacing w:after="0"/>
            </w:pPr>
            <w:r>
              <w:rPr>
                <w:rFonts w:ascii="Aptos" w:hAnsi="Aptos" w:eastAsia="Aptos"/>
                <w:b/>
                <w:i w:val="0"/>
                <w:color w:val="A70E13"/>
                <w:sz w:val="16"/>
              </w:rPr>
              <w:t>— Bruce Lee</w:t>
            </w:r>
          </w:p>
        </w:tc>
      </w:tr>
    </w:tbl>
    <w:p>
      <w:r>
        <w:br w:type="page"/>
      </w:r>
    </w:p>
    <w:p>
      <w:pPr>
        <w:spacing w:after="240"/>
      </w:pPr>
      <w:r>
        <w:rPr>
          <w:sz w:val="6"/>
        </w:rPr>
        <w:t xml:space="preserve"> </w:t>
      </w:r>
    </w:p>
    <w:p>
      <w:pPr>
        <w:pStyle w:val="Heading1"/>
        <w:spacing w:before="0" w:after="160"/>
      </w:pPr>
      <w:r>
        <w:rPr>
          <w:rFonts w:ascii="Aptos Display" w:hAnsi="Aptos Display"/>
          <w:b/>
          <w:color w:val="242426"/>
          <w:sz w:val="50"/>
        </w:rPr>
        <w:t>Turn the score into a 90-day move</w:t>
      </w:r>
    </w:p>
    <w:p>
      <w:pPr>
        <w:spacing w:after="400"/>
      </w:pPr>
      <w:r>
        <w:rPr>
          <w:rFonts w:ascii="Aptos" w:hAnsi="Aptos" w:eastAsia="Aptos"/>
          <w:b w:val="0"/>
          <w:i w:val="0"/>
          <w:color w:val="636466"/>
          <w:sz w:val="22"/>
        </w:rPr>
        <w:t>The aim is not five parallel projects. Pick one constraint, define the evidence of progress and give it a named owner.</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570"/>
            <w:shd w:fill="CE181E"/>
            <w:tcMar>
              <w:top w:w="100" w:type="dxa"/>
              <w:start w:w="130" w:type="dxa"/>
              <w:bottom w:w="100" w:type="dxa"/>
              <w:end w:w="130" w:type="dxa"/>
            </w:tcMar>
          </w:tcPr>
          <w:p>
            <w:pPr>
              <w:spacing w:after="0"/>
            </w:pPr>
            <w:r/>
            <w:r>
              <w:rPr>
                <w:rFonts w:ascii="Aptos" w:hAnsi="Aptos" w:eastAsia="Aptos"/>
                <w:b/>
                <w:i w:val="0"/>
                <w:color w:val="FFFFFF"/>
                <w:sz w:val="16"/>
              </w:rPr>
              <w:t>PRIORITY</w:t>
            </w:r>
          </w:p>
        </w:tc>
        <w:tc>
          <w:tcPr>
            <w:tcW w:type="dxa" w:w="2570"/>
            <w:shd w:fill="CE181E"/>
            <w:tcMar>
              <w:top w:w="100" w:type="dxa"/>
              <w:start w:w="130" w:type="dxa"/>
              <w:bottom w:w="100" w:type="dxa"/>
              <w:end w:w="130" w:type="dxa"/>
            </w:tcMar>
          </w:tcPr>
          <w:p>
            <w:pPr>
              <w:spacing w:after="0"/>
            </w:pPr>
            <w:r/>
            <w:r>
              <w:rPr>
                <w:rFonts w:ascii="Aptos" w:hAnsi="Aptos" w:eastAsia="Aptos"/>
                <w:b/>
                <w:i w:val="0"/>
                <w:color w:val="FFFFFF"/>
                <w:sz w:val="16"/>
              </w:rPr>
              <w:t>OWNER</w:t>
            </w:r>
          </w:p>
        </w:tc>
        <w:tc>
          <w:tcPr>
            <w:tcW w:type="dxa" w:w="2570"/>
            <w:shd w:fill="CE181E"/>
            <w:tcMar>
              <w:top w:w="100" w:type="dxa"/>
              <w:start w:w="130" w:type="dxa"/>
              <w:bottom w:w="100" w:type="dxa"/>
              <w:end w:w="130" w:type="dxa"/>
            </w:tcMar>
          </w:tcPr>
          <w:p>
            <w:pPr>
              <w:spacing w:after="0"/>
            </w:pPr>
            <w:r/>
            <w:r>
              <w:rPr>
                <w:rFonts w:ascii="Aptos" w:hAnsi="Aptos" w:eastAsia="Aptos"/>
                <w:b/>
                <w:i w:val="0"/>
                <w:color w:val="FFFFFF"/>
                <w:sz w:val="16"/>
              </w:rPr>
              <w:t>EVIDENCE OF PROGRESS</w:t>
            </w:r>
          </w:p>
        </w:tc>
        <w:tc>
          <w:tcPr>
            <w:tcW w:type="dxa" w:w="2570"/>
            <w:shd w:fill="CE181E"/>
            <w:tcMar>
              <w:top w:w="100" w:type="dxa"/>
              <w:start w:w="130" w:type="dxa"/>
              <w:bottom w:w="100" w:type="dxa"/>
              <w:end w:w="130" w:type="dxa"/>
            </w:tcMar>
          </w:tcPr>
          <w:p>
            <w:pPr>
              <w:spacing w:after="0"/>
            </w:pPr>
            <w:r/>
            <w:r>
              <w:rPr>
                <w:rFonts w:ascii="Aptos" w:hAnsi="Aptos" w:eastAsia="Aptos"/>
                <w:b/>
                <w:i w:val="0"/>
                <w:color w:val="FFFFFF"/>
                <w:sz w:val="16"/>
              </w:rPr>
              <w:t>REVIEW DATE</w:t>
            </w:r>
          </w:p>
        </w:tc>
      </w:tr>
      <w:tr>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r>
      <w:tr>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r>
      <w:tr>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r>
      <w:tr>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r>
      <w:tr>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c>
          <w:tcPr>
            <w:tcW w:type="dxa" w:w="2570"/>
            <w:tcMar>
              <w:top w:w="180" w:type="dxa"/>
              <w:start w:w="100" w:type="dxa"/>
              <w:bottom w:w="180" w:type="dxa"/>
              <w:end w:w="100" w:type="dxa"/>
            </w:tcMar>
          </w:tcPr>
          <w:p>
            <w:pPr>
              <w:spacing w:after="0"/>
            </w:pPr>
            <w:r/>
            <w:r>
              <w:rPr>
                <w:rFonts w:ascii="Aptos" w:hAnsi="Aptos" w:eastAsia="Aptos"/>
                <w:b w:val="0"/>
                <w:i w:val="0"/>
                <w:color w:val="4D4D4F"/>
                <w:sz w:val="20"/>
              </w:rPr>
            </w:r>
          </w:p>
        </w:tc>
      </w:tr>
    </w:tbl>
    <w:p>
      <w:pPr>
        <w:spacing w:after="160" w:line="293" w:lineRule="auto"/>
      </w:pPr>
      <w:r>
        <w:rPr>
          <w:rFonts w:ascii="Aptos" w:hAnsi="Aptos" w:eastAsia="Aptos"/>
          <w:b w:val="0"/>
          <w:i w:val="0"/>
          <w:color w:val="4D4D4F"/>
          <w:sz w:val="21"/>
        </w:rPr>
        <w:t>Use the following sequence: 1) choose the lowest score, 2) name the first commercial move, 3) decide what evidence proves it is working, 4) review it weekly, and 5) do not add the next priority until the first one has traction.</w:t>
      </w:r>
    </w:p>
    <w:tbl>
      <w:tblPr>
        <w:tblW w:type="auto" w:w="0"/>
        <w:jc w:val="center"/>
        <w:tblLayout w:type="fixed"/>
        <w:tblLook w:firstColumn="1" w:firstRow="1" w:lastColumn="0" w:lastRow="0" w:noHBand="0" w:noVBand="1" w:val="04A0"/>
      </w:tblPr>
      <w:tblGrid>
        <w:gridCol w:w="5141"/>
        <w:gridCol w:w="5141"/>
      </w:tblGrid>
      <w:tr>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WEEK 1</w:t>
            </w:r>
          </w:p>
          <w:p>
            <w:pPr>
              <w:spacing w:after="120"/>
            </w:pPr>
            <w:r>
              <w:rPr>
                <w:rFonts w:ascii="Aptos Display" w:hAnsi="Aptos Display" w:eastAsia="Aptos Display"/>
                <w:b/>
                <w:i w:val="0"/>
                <w:color w:val="242426"/>
                <w:sz w:val="25"/>
              </w:rPr>
              <w:t>See the baseline</w:t>
            </w:r>
          </w:p>
          <w:p>
            <w:pPr>
              <w:spacing w:after="0"/>
            </w:pPr>
            <w:r>
              <w:rPr>
                <w:rFonts w:ascii="Aptos" w:hAnsi="Aptos" w:eastAsia="Aptos"/>
                <w:b w:val="0"/>
                <w:i w:val="0"/>
                <w:color w:val="636466"/>
                <w:sz w:val="18"/>
              </w:rPr>
              <w:t>Confirm the number, the cause and the owner.</w:t>
            </w:r>
          </w:p>
        </w:tc>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WEEKS 2–4</w:t>
            </w:r>
          </w:p>
          <w:p>
            <w:pPr>
              <w:spacing w:after="120"/>
            </w:pPr>
            <w:r>
              <w:rPr>
                <w:rFonts w:ascii="Aptos Display" w:hAnsi="Aptos Display" w:eastAsia="Aptos Display"/>
                <w:b/>
                <w:i w:val="0"/>
                <w:color w:val="242426"/>
                <w:sz w:val="25"/>
              </w:rPr>
              <w:t>Install the rhythm</w:t>
            </w:r>
          </w:p>
          <w:p>
            <w:pPr>
              <w:spacing w:after="0"/>
            </w:pPr>
            <w:r>
              <w:rPr>
                <w:rFonts w:ascii="Aptos" w:hAnsi="Aptos" w:eastAsia="Aptos"/>
                <w:b w:val="0"/>
                <w:i w:val="0"/>
                <w:color w:val="636466"/>
                <w:sz w:val="18"/>
              </w:rPr>
              <w:t>Create the meeting, report, system or process.</w:t>
            </w:r>
          </w:p>
        </w:tc>
      </w:tr>
      <w:tr>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WEEKS 5–8</w:t>
            </w:r>
          </w:p>
          <w:p>
            <w:pPr>
              <w:spacing w:after="120"/>
            </w:pPr>
            <w:r>
              <w:rPr>
                <w:rFonts w:ascii="Aptos Display" w:hAnsi="Aptos Display" w:eastAsia="Aptos Display"/>
                <w:b/>
                <w:i w:val="0"/>
                <w:color w:val="242426"/>
                <w:sz w:val="25"/>
              </w:rPr>
              <w:t>Coach and adjust</w:t>
            </w:r>
          </w:p>
          <w:p>
            <w:pPr>
              <w:spacing w:after="0"/>
            </w:pPr>
            <w:r>
              <w:rPr>
                <w:rFonts w:ascii="Aptos" w:hAnsi="Aptos" w:eastAsia="Aptos"/>
                <w:b w:val="0"/>
                <w:i w:val="0"/>
                <w:color w:val="636466"/>
                <w:sz w:val="18"/>
              </w:rPr>
              <w:t>Test the behaviour, remove friction and keep the decision visible.</w:t>
            </w:r>
          </w:p>
        </w:tc>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WEEKS 9–12</w:t>
            </w:r>
          </w:p>
          <w:p>
            <w:pPr>
              <w:spacing w:after="120"/>
            </w:pPr>
            <w:r>
              <w:rPr>
                <w:rFonts w:ascii="Aptos Display" w:hAnsi="Aptos Display" w:eastAsia="Aptos Display"/>
                <w:b/>
                <w:i w:val="0"/>
                <w:color w:val="242426"/>
                <w:sz w:val="25"/>
              </w:rPr>
              <w:t>Lock it in</w:t>
            </w:r>
          </w:p>
          <w:p>
            <w:pPr>
              <w:spacing w:after="0"/>
            </w:pPr>
            <w:r>
              <w:rPr>
                <w:rFonts w:ascii="Aptos" w:hAnsi="Aptos" w:eastAsia="Aptos"/>
                <w:b w:val="0"/>
                <w:i w:val="0"/>
                <w:color w:val="636466"/>
                <w:sz w:val="18"/>
              </w:rPr>
              <w:t>Document the new standard and decide the next constraint.</w:t>
            </w:r>
          </w:p>
        </w:tc>
      </w:tr>
    </w:tbl>
    <w:tbl>
      <w:tblPr>
        <w:tblW w:type="auto" w:w="0"/>
        <w:jc w:val="center"/>
        <w:tblLayout w:type="fixed"/>
        <w:tblLook w:firstColumn="1" w:firstRow="1" w:lastColumn="0" w:lastRow="0" w:noHBand="0" w:noVBand="1" w:val="04A0"/>
      </w:tblPr>
      <w:tblGrid>
        <w:gridCol w:w="9360"/>
      </w:tblGrid>
      <w:tr>
        <w:tc>
          <w:tcPr>
            <w:tcW w:type="dxa" w:w="10282"/>
            <w:shd w:fill="F7F7F7"/>
            <w:tcMar>
              <w:top w:w="100" w:type="dxa"/>
              <w:start w:w="160" w:type="dxa"/>
              <w:bottom w:w="100" w:type="dxa"/>
              <w:end w:w="160" w:type="dxa"/>
            </w:tcMar>
            <w:tcBorders>
              <w:top w:val="nil"/>
              <w:left w:val="single" w:sz="18" w:color="CE181E"/>
              <w:bottom w:val="nil"/>
              <w:right w:val="nil"/>
            </w:tcBorders>
          </w:tcPr>
          <w:p>
            <w:pPr>
              <w:spacing w:after="80"/>
            </w:pPr>
            <w:r/>
            <w:r>
              <w:rPr>
                <w:rFonts w:ascii="Aptos" w:hAnsi="Aptos" w:eastAsia="Aptos"/>
                <w:b w:val="0"/>
                <w:i/>
                <w:color w:val="4D4D4F"/>
                <w:sz w:val="18"/>
              </w:rPr>
              <w:t>“Anybody can jump a motorcycle. The trouble begins when you try to land it.”</w:t>
            </w:r>
          </w:p>
          <w:p>
            <w:pPr>
              <w:spacing w:after="0"/>
            </w:pPr>
            <w:r>
              <w:rPr>
                <w:rFonts w:ascii="Aptos" w:hAnsi="Aptos" w:eastAsia="Aptos"/>
                <w:b/>
                <w:i w:val="0"/>
                <w:color w:val="A70E13"/>
                <w:sz w:val="16"/>
              </w:rPr>
              <w:t>— Evel Knievel</w:t>
            </w:r>
          </w:p>
        </w:tc>
      </w:tr>
    </w:tbl>
    <w:p>
      <w:r>
        <w:br w:type="page"/>
      </w:r>
    </w:p>
    <w:p>
      <w:pPr>
        <w:spacing w:after="240"/>
      </w:pPr>
      <w:r>
        <w:rPr>
          <w:sz w:val="6"/>
        </w:rPr>
        <w:t xml:space="preserve"> </w:t>
      </w:r>
    </w:p>
    <w:tbl>
      <w:tblPr>
        <w:tblW w:type="auto" w:w="0"/>
        <w:jc w:val="center"/>
        <w:tblLayout w:type="fixed"/>
        <w:tblLook w:firstColumn="1" w:firstRow="1" w:lastColumn="0" w:lastRow="0" w:noHBand="0" w:noVBand="1" w:val="04A0"/>
      </w:tblPr>
      <w:tblGrid>
        <w:gridCol w:w="9360"/>
      </w:tblGrid>
      <w:tr>
        <w:tc>
          <w:tcPr>
            <w:tcW w:type="dxa" w:w="10282"/>
            <w:shd w:fill="CE181E"/>
            <w:tcMar>
              <w:top w:w="170" w:type="dxa"/>
              <w:start w:w="250" w:type="dxa"/>
              <w:bottom w:w="170" w:type="dxa"/>
              <w:end w:w="250" w:type="dxa"/>
            </w:tcMar>
            <w:tcBorders>
              <w:top w:val="nil"/>
              <w:left w:val="nil"/>
              <w:bottom w:val="nil"/>
              <w:right w:val="nil"/>
            </w:tcBorders>
          </w:tcPr>
          <w:p>
            <w:pPr>
              <w:spacing w:after="0"/>
              <w:jc w:val="center"/>
            </w:pPr>
            <w:r/>
            <w:r>
              <w:rPr>
                <w:rFonts w:ascii="Aptos" w:hAnsi="Aptos" w:eastAsia="Aptos"/>
                <w:b/>
                <w:i w:val="0"/>
                <w:color w:val="FFFFFF"/>
                <w:sz w:val="16"/>
              </w:rPr>
              <w:t>YOUR NEXT MOVE</w:t>
            </w:r>
          </w:p>
          <w:p>
            <w:pPr>
              <w:spacing w:after="100"/>
              <w:jc w:val="center"/>
            </w:pPr>
            <w:r>
              <w:rPr>
                <w:rFonts w:ascii="Aptos Display" w:hAnsi="Aptos Display" w:eastAsia="Aptos Display"/>
                <w:b/>
                <w:i w:val="0"/>
                <w:color w:val="FFFFFF"/>
                <w:sz w:val="40"/>
              </w:rPr>
              <w:t>Want an external commercial lens on the score?</w:t>
            </w:r>
          </w:p>
          <w:p>
            <w:pPr>
              <w:jc w:val="center"/>
            </w:pPr>
            <w:r>
              <w:rPr>
                <w:rFonts w:ascii="Aptos" w:hAnsi="Aptos" w:eastAsia="Aptos"/>
                <w:b w:val="0"/>
                <w:i w:val="0"/>
                <w:color w:val="FFFFFF"/>
                <w:sz w:val="21"/>
              </w:rPr>
              <w:t>Book a complimentary C.A.R.E. Discovery Meeting with Shuriken.</w:t>
            </w:r>
          </w:p>
        </w:tc>
      </w:tr>
    </w:tbl>
    <w:p>
      <w:pPr>
        <w:spacing w:after="120"/>
      </w:pPr>
    </w:p>
    <w:p>
      <w:pPr>
        <w:pStyle w:val="Heading1"/>
        <w:spacing w:before="0" w:after="160"/>
      </w:pPr>
      <w:r>
        <w:rPr>
          <w:rFonts w:ascii="Aptos Display" w:hAnsi="Aptos Display"/>
          <w:b/>
          <w:color w:val="242426"/>
          <w:sz w:val="50"/>
        </w:rPr>
        <w:t>Bring your scorecard into the room.</w:t>
      </w:r>
    </w:p>
    <w:p>
      <w:pPr>
        <w:spacing w:after="400"/>
      </w:pPr>
      <w:r>
        <w:rPr>
          <w:rFonts w:ascii="Aptos" w:hAnsi="Aptos" w:eastAsia="Aptos"/>
          <w:b w:val="0"/>
          <w:i w:val="0"/>
          <w:color w:val="636466"/>
          <w:sz w:val="22"/>
        </w:rPr>
        <w:t>The first meeting is a practical fact-find: your business, your priorities and whether Shuriken can genuinely assist. It is complimentary, and a focused commercial review of this kind ordinarily carries a $497 value.</w:t>
      </w:r>
    </w:p>
    <w:p>
      <w:pPr>
        <w:spacing w:after="160" w:line="293" w:lineRule="auto"/>
      </w:pPr>
      <w:r>
        <w:rPr>
          <w:rFonts w:ascii="Aptos" w:hAnsi="Aptos" w:eastAsia="Aptos"/>
          <w:b w:val="0"/>
          <w:i w:val="0"/>
          <w:color w:val="4D4D4F"/>
          <w:sz w:val="21"/>
        </w:rPr>
        <w:t>If you use Xero and want us to review the high-level numbers ahead of time, you can invite xero@shuriken.com with adviser access. This is optional. Never send passwords, banking credentials or sensitive client data by email.</w:t>
      </w:r>
    </w:p>
    <w:tbl>
      <w:tblPr>
        <w:tblW w:type="auto" w:w="0"/>
        <w:jc w:val="center"/>
        <w:tblLayout w:type="fixed"/>
        <w:tblLook w:firstColumn="1" w:firstRow="1" w:lastColumn="0" w:lastRow="0" w:noHBand="0" w:noVBand="1" w:val="04A0"/>
      </w:tblPr>
      <w:tblGrid>
        <w:gridCol w:w="5141"/>
        <w:gridCol w:w="5141"/>
      </w:tblGrid>
      <w:tr>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1</w:t>
            </w:r>
          </w:p>
          <w:p>
            <w:pPr>
              <w:spacing w:after="120"/>
            </w:pPr>
            <w:r>
              <w:rPr>
                <w:rFonts w:ascii="Aptos Display" w:hAnsi="Aptos Display" w:eastAsia="Aptos Display"/>
                <w:b/>
                <w:i w:val="0"/>
                <w:color w:val="242426"/>
                <w:sz w:val="25"/>
              </w:rPr>
              <w:t>Complete</w:t>
            </w:r>
          </w:p>
          <w:p>
            <w:pPr>
              <w:spacing w:after="0"/>
            </w:pPr>
            <w:r>
              <w:rPr>
                <w:rFonts w:ascii="Aptos" w:hAnsi="Aptos" w:eastAsia="Aptos"/>
                <w:b w:val="0"/>
                <w:i w:val="0"/>
                <w:color w:val="636466"/>
                <w:sz w:val="18"/>
              </w:rPr>
              <w:t>Finish the V.A.L.U.E. scorecard and choose your two lowest dimensions.</w:t>
            </w:r>
          </w:p>
        </w:tc>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2</w:t>
            </w:r>
          </w:p>
          <w:p>
            <w:pPr>
              <w:spacing w:after="120"/>
            </w:pPr>
            <w:r>
              <w:rPr>
                <w:rFonts w:ascii="Aptos Display" w:hAnsi="Aptos Display" w:eastAsia="Aptos Display"/>
                <w:b/>
                <w:i w:val="0"/>
                <w:color w:val="242426"/>
                <w:sz w:val="25"/>
              </w:rPr>
              <w:t>Book</w:t>
            </w:r>
          </w:p>
          <w:p>
            <w:pPr>
              <w:spacing w:after="0"/>
            </w:pPr>
            <w:r>
              <w:rPr>
                <w:rFonts w:ascii="Aptos" w:hAnsi="Aptos" w:eastAsia="Aptos"/>
                <w:b w:val="0"/>
                <w:i w:val="0"/>
                <w:color w:val="636466"/>
                <w:sz w:val="18"/>
              </w:rPr>
              <w:t>Choose a complimentary C.A.R.E. Discovery Meeting time.</w:t>
            </w:r>
          </w:p>
        </w:tc>
      </w:tr>
      <w:tr>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3</w:t>
            </w:r>
          </w:p>
          <w:p>
            <w:pPr>
              <w:spacing w:after="120"/>
            </w:pPr>
            <w:r>
              <w:rPr>
                <w:rFonts w:ascii="Aptos Display" w:hAnsi="Aptos Display" w:eastAsia="Aptos Display"/>
                <w:b/>
                <w:i w:val="0"/>
                <w:color w:val="242426"/>
                <w:sz w:val="25"/>
              </w:rPr>
              <w:t>Prepare</w:t>
            </w:r>
          </w:p>
          <w:p>
            <w:pPr>
              <w:spacing w:after="0"/>
            </w:pPr>
            <w:r>
              <w:rPr>
                <w:rFonts w:ascii="Aptos" w:hAnsi="Aptos" w:eastAsia="Aptos"/>
                <w:b w:val="0"/>
                <w:i w:val="0"/>
                <w:color w:val="636466"/>
                <w:sz w:val="18"/>
              </w:rPr>
              <w:t>Bring your priorities, questions and — if helpful — a high-level Xero view.</w:t>
            </w:r>
          </w:p>
        </w:tc>
        <w:tc>
          <w:tcPr>
            <w:tcW w:type="dxa" w:w="5141"/>
            <w:shd w:fill="F4F4F4"/>
            <w:tcMar>
              <w:top w:w="150" w:type="dxa"/>
              <w:start w:w="150" w:type="dxa"/>
              <w:bottom w:w="150" w:type="dxa"/>
              <w:end w:w="150" w:type="dxa"/>
            </w:tcMar>
            <w:tcBorders>
              <w:top w:val="single" w:sz="4" w:color="D9D9D9"/>
              <w:left w:val="single" w:sz="4" w:color="D9D9D9"/>
              <w:bottom w:val="single" w:sz="4" w:color="D9D9D9"/>
              <w:right w:val="single" w:sz="4" w:color="D9D9D9"/>
            </w:tcBorders>
          </w:tcPr>
          <w:p>
            <w:pPr>
              <w:spacing w:after="0"/>
            </w:pPr>
            <w:r/>
            <w:r>
              <w:rPr>
                <w:rFonts w:ascii="Aptos" w:hAnsi="Aptos" w:eastAsia="Aptos"/>
                <w:b/>
                <w:i w:val="0"/>
                <w:color w:val="CE181E"/>
                <w:sz w:val="18"/>
              </w:rPr>
              <w:t>4</w:t>
            </w:r>
          </w:p>
          <w:p>
            <w:pPr>
              <w:spacing w:after="120"/>
            </w:pPr>
            <w:r>
              <w:rPr>
                <w:rFonts w:ascii="Aptos Display" w:hAnsi="Aptos Display" w:eastAsia="Aptos Display"/>
                <w:b/>
                <w:i w:val="0"/>
                <w:color w:val="242426"/>
                <w:sz w:val="25"/>
              </w:rPr>
              <w:t>Decide</w:t>
            </w:r>
          </w:p>
          <w:p>
            <w:pPr>
              <w:spacing w:after="0"/>
            </w:pPr>
            <w:r>
              <w:rPr>
                <w:rFonts w:ascii="Aptos" w:hAnsi="Aptos" w:eastAsia="Aptos"/>
                <w:b w:val="0"/>
                <w:i w:val="0"/>
                <w:color w:val="636466"/>
                <w:sz w:val="18"/>
              </w:rPr>
              <w:t>Leave knowing the practical next move, whether or not we work together.</w:t>
            </w:r>
          </w:p>
        </w:tc>
      </w:tr>
    </w:tbl>
    <w:tbl>
      <w:tblPr>
        <w:tblW w:type="auto" w:w="0"/>
        <w:jc w:val="center"/>
        <w:tblLayout w:type="fixed"/>
        <w:tblLook w:firstColumn="1" w:firstRow="1" w:lastColumn="0" w:lastRow="0" w:noHBand="0" w:noVBand="1" w:val="04A0"/>
      </w:tblPr>
      <w:tblGrid>
        <w:gridCol w:w="9360"/>
      </w:tblGrid>
      <w:tr>
        <w:tc>
          <w:tcPr>
            <w:tcW w:type="dxa" w:w="10282"/>
            <w:shd w:fill="F7F7F7"/>
            <w:tcMar>
              <w:top w:w="100" w:type="dxa"/>
              <w:start w:w="160" w:type="dxa"/>
              <w:bottom w:w="100" w:type="dxa"/>
              <w:end w:w="160" w:type="dxa"/>
            </w:tcMar>
            <w:tcBorders>
              <w:top w:val="nil"/>
              <w:left w:val="single" w:sz="18" w:color="CE181E"/>
              <w:bottom w:val="nil"/>
              <w:right w:val="nil"/>
            </w:tcBorders>
          </w:tcPr>
          <w:p>
            <w:pPr>
              <w:spacing w:after="80"/>
            </w:pPr>
            <w:r/>
            <w:r>
              <w:rPr>
                <w:rFonts w:ascii="Aptos" w:hAnsi="Aptos" w:eastAsia="Aptos"/>
                <w:b w:val="0"/>
                <w:i/>
                <w:color w:val="4D4D4F"/>
                <w:sz w:val="18"/>
              </w:rPr>
              <w:t>“For which of you, desiring to build a tower, does not first sit down and count the cost, whether he has enough to complete it?”</w:t>
            </w:r>
          </w:p>
          <w:p>
            <w:pPr>
              <w:spacing w:after="0"/>
            </w:pPr>
            <w:r>
              <w:rPr>
                <w:rFonts w:ascii="Aptos" w:hAnsi="Aptos" w:eastAsia="Aptos"/>
                <w:b/>
                <w:i w:val="0"/>
                <w:color w:val="A70E13"/>
                <w:sz w:val="16"/>
              </w:rPr>
              <w:t>— Jesus, Luke 14:28</w:t>
            </w:r>
          </w:p>
        </w:tc>
      </w:tr>
    </w:tbl>
    <w:p>
      <w:pPr>
        <w:spacing w:before="240" w:after="120"/>
        <w:jc w:val="center"/>
      </w:pPr>
      <w:r>
        <w:rPr>
          <w:rFonts w:ascii="Aptos Display" w:hAnsi="Aptos Display" w:eastAsia="Aptos Display"/>
          <w:b/>
          <w:i w:val="0"/>
          <w:color w:val="CE181E"/>
          <w:sz w:val="34"/>
        </w:rPr>
        <w:t>shuriken.com/care-assessment/</w:t>
      </w:r>
    </w:p>
    <w:p>
      <w:pPr>
        <w:jc w:val="center"/>
      </w:pPr>
      <w:r>
        <w:rPr>
          <w:rFonts w:ascii="Aptos" w:hAnsi="Aptos" w:eastAsia="Aptos"/>
          <w:b w:val="0"/>
          <w:i w:val="0"/>
          <w:color w:val="636466"/>
          <w:sz w:val="20"/>
        </w:rPr>
        <w:t>Shuriken Advisory Group  ·  Allied Health commercial advisers</w:t>
      </w:r>
    </w:p>
    <w:p>
      <w:pPr>
        <w:spacing w:before="160"/>
        <w:jc w:val="center"/>
      </w:pPr>
      <w:r>
        <w:rPr>
          <w:rFonts w:ascii="Aptos" w:hAnsi="Aptos" w:eastAsia="Aptos"/>
          <w:b w:val="0"/>
          <w:i/>
          <w:color w:val="636466"/>
          <w:sz w:val="17"/>
        </w:rPr>
        <w:t>Important: This Blueprint is general commercial education only. It is not financial, tax, legal, clinical or investment advice.</w:t>
      </w:r>
    </w:p>
    <w:sectPr w:rsidR="00FC693F" w:rsidRPr="0006063C" w:rsidSect="00034616">
      <w:headerReference w:type="default" r:id="rId9"/>
      <w:footerReference w:type="default" r:id="rId10"/>
      <w:pgSz w:w="12240" w:h="15840"/>
      <w:pgMar w:top="835"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color w:val="636466"/>
        <w:sz w:val="16"/>
      </w:rPr>
      <w:t xml:space="preserve">SHURIKEN ADVISORY GROUP  ·  V.A.L.U.E. BLUEPRINT  ·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234440" cy="329104"/>
          <wp:docPr id="1" name="Picture 1"/>
          <wp:cNvGraphicFramePr>
            <a:graphicFrameLocks noChangeAspect="1"/>
          </wp:cNvGraphicFramePr>
          <a:graphic>
            <a:graphicData uri="http://schemas.openxmlformats.org/drawingml/2006/picture">
              <pic:pic>
                <pic:nvPicPr>
                  <pic:cNvPr id="0" name="shuriken-logo.png"/>
                  <pic:cNvPicPr/>
                </pic:nvPicPr>
                <pic:blipFill>
                  <a:blip r:embed="rId1"/>
                  <a:stretch>
                    <a:fillRect/>
                  </a:stretch>
                </pic:blipFill>
                <pic:spPr>
                  <a:xfrm>
                    <a:off x="0" y="0"/>
                    <a:ext cx="1234440" cy="32910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242426"/>
      <w:sz w:val="5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42426"/>
      <w:sz w:val="3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D4D4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V.A.L.U.E. Blueprint™ | Shuriken Advisory Group</dc:title>
  <dc:subject>Allied Health practice owner scorecard</dc:subject>
  <dc:creator>Shuriken Advisory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